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0947d1_8k.htm"/>
      <w:bookmarkStart w:id="1" w:name="kstm2620947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B_edei--DocumentType_c2026072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Cypherpunk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165"/>
        <w:gridCol w:w="60"/>
        <w:gridCol w:w="1340"/>
        <w:gridCol w:w="60"/>
        <w:gridCol w:w="1775"/>
      </w:tblGrid>
      <w:tr>
        <w:trPr/>
        <w:tc>
          <w:tcPr>
            <w:tcW w:w="2165" w:type="dxa"/>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sz w:val="20"/>
              </w:rPr>
            </w:pPr>
            <w:bookmarkStart w:id="6" w:name="xdx_907_edei--EntityFileNumber_c20260720"/>
            <w:bookmarkEnd w:id="6"/>
            <w:r>
              <w:rPr>
                <w:b/>
                <w:sz w:val="20"/>
              </w:rPr>
              <w:t>001-37990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9_edei--EntityTaxIdentificationNum"/>
            <w:bookmarkEnd w:id="7"/>
            <w:r>
              <w:rPr>
                <w:b/>
                <w:sz w:val="20"/>
              </w:rPr>
              <w:t>27-4412575</w:t>
            </w:r>
          </w:p>
        </w:tc>
      </w:tr>
      <w:tr>
        <w:trPr/>
        <w:tc>
          <w:tcPr>
            <w:tcW w:w="2165" w:type="dxa"/>
            <w:tcBorders/>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47 Thorndike Street, </w:t>
            </w:r>
            <w:bookmarkStart w:id="9" w:name="xdx_909_edei--EntityAddressAddressLine2_"/>
            <w:bookmarkEnd w:id="9"/>
            <w:r>
              <w:rPr>
                <w:rFonts w:ascii="Times New Roman;Times;Serif" w:hAnsi="Times New Roman;Times;Serif"/>
                <w:b/>
                <w:i w:val="false"/>
                <w:caps w:val="false"/>
                <w:smallCaps w:val="false"/>
                <w:sz w:val="20"/>
              </w:rPr>
              <w:t xml:space="preserve">Suite B1-1 </w:t>
              <w:br/>
            </w:r>
            <w:bookmarkStart w:id="10" w:name="xdx_90A_edei--EntityAddressCityOrTown_c2"/>
            <w:bookmarkEnd w:id="10"/>
            <w:r>
              <w:rPr>
                <w:rFonts w:ascii="Times New Roman;Times;Serif" w:hAnsi="Times New Roman;Times;Serif"/>
                <w:b/>
                <w:i w:val="false"/>
                <w:caps w:val="false"/>
                <w:smallCaps w:val="false"/>
                <w:sz w:val="20"/>
              </w:rPr>
              <w:t xml:space="preserve">Cambridge, </w:t>
            </w:r>
            <w:bookmarkStart w:id="11" w:name="xdx_90E_edei--EntityAddressStateOrProvin"/>
            <w:bookmarkEnd w:id="11"/>
            <w:r>
              <w:rPr>
                <w:rFonts w:ascii="Times New Roman;Times;Serif" w:hAnsi="Times New Roman;Times;Serif"/>
                <w:b/>
                <w:i w:val="false"/>
                <w:caps w:val="false"/>
                <w:smallCaps w:val="false"/>
                <w:sz w:val="20"/>
              </w:rPr>
              <w:t xml:space="preserve">MA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02141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7_edei--CityAreaCode_c20260720__20"/>
      <w:bookmarkEnd w:id="13"/>
      <w:r>
        <w:rPr>
          <w:rFonts w:ascii="Times New Roman;Times;Serif" w:hAnsi="Times New Roman;Times;Serif"/>
          <w:b/>
          <w:i w:val="false"/>
          <w:caps w:val="false"/>
          <w:smallCaps w:val="false"/>
          <w:sz w:val="20"/>
        </w:rPr>
        <w:t>617) </w:t>
      </w:r>
      <w:bookmarkStart w:id="14" w:name="xdx_908_edei--LocalPhoneNumber_c20260720"/>
      <w:bookmarkEnd w:id="14"/>
      <w:r>
        <w:rPr>
          <w:rFonts w:ascii="Times New Roman;Times;Serif" w:hAnsi="Times New Roman;Times;Serif"/>
          <w:b/>
          <w:i w:val="false"/>
          <w:caps w:val="false"/>
          <w:smallCaps w:val="false"/>
          <w:sz w:val="20"/>
        </w:rPr>
        <w:t>714-0360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7"/>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7875" w:type="dxa"/>
        <w:jc w:val="left"/>
        <w:tblInd w:w="-10" w:type="dxa"/>
        <w:tblLayout w:type="fixed"/>
        <w:tblCellMar>
          <w:top w:w="28" w:type="dxa"/>
          <w:left w:w="108" w:type="dxa"/>
          <w:bottom w:w="28" w:type="dxa"/>
          <w:right w:w="0" w:type="dxa"/>
        </w:tblCellMar>
      </w:tblPr>
      <w:tblGrid>
        <w:gridCol w:w="2750"/>
        <w:gridCol w:w="1535"/>
        <w:gridCol w:w="3590"/>
      </w:tblGrid>
      <w:tr>
        <w:trPr/>
        <w:tc>
          <w:tcPr>
            <w:tcW w:w="275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20"/>
              </w:rPr>
            </w:pPr>
            <w:r>
              <w:rPr>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jc w:val="left"/>
              <w:rPr>
                <w:sz w:val="20"/>
              </w:rPr>
            </w:pPr>
            <w:r>
              <w:rPr>
                <w:sz w:val="20"/>
              </w:rPr>
              <w:t>Name of each exchange on which registered</w:t>
            </w:r>
          </w:p>
        </w:tc>
      </w:tr>
      <w:tr>
        <w:trPr/>
        <w:tc>
          <w:tcPr>
            <w:tcW w:w="275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bookmarkStart w:id="19" w:name="xdx_90F_edei--Security12bTitle_c20260720"/>
            <w:bookmarkEnd w:id="19"/>
            <w:r>
              <w:rPr>
                <w:sz w:val="20"/>
              </w:rPr>
              <w:t>Common Stock, par value $0.001</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bookmarkStart w:id="20" w:name="xdx_903_edei--TradingSymbol_c20260720__2"/>
            <w:bookmarkEnd w:id="20"/>
            <w:r>
              <w:rPr>
                <w:sz w:val="20"/>
              </w:rPr>
              <w:t>CYPH</w:t>
            </w:r>
          </w:p>
        </w:tc>
        <w:tc>
          <w:tcPr>
            <w:tcW w:w="359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bookmarkStart w:id="21" w:name="xdx_900_edei--SecurityExchangeName_c2026"/>
            <w:bookmarkEnd w:id="21"/>
            <w:r>
              <w:rPr>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3.01  Notice of Delisting or Failure to Satisfy a Continued Listing Rule or Standard; Transfer of Listing.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20, 2026, Cypherpunk Technologies Inc. (the “Company”) received a notification letter (the “Closing Bid Price Deficiency Letter”) from the Listing Qualifications staff of The Nasdaq Stock Market LLC (“Nasdaq”) notifying the Company that, for the last 30 consecutive business days, the closing bid price for the Company’s common stock has been below the minimum $1.00 per share required for continued listing on The Nasdaq Capital Market pursuant to Nasdaq Listing Rule 5550(a)(2) (“Rule 5550(a)(2)”). The Closing Bid Price Deficiency Letter is a notice of deficiency, not delisting, and does not currently affect the listing or trading of the Company’s shares of common stock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180 days, or until January 19, 2027, to regain compliance with Rule 5550(a)(2) by maintaining a closing bid price of at least $1.00 per share for a minimum of 10 consecutive business days. Additionally, the Company may be eligible for an additional compliance period of 180 calendar days if, on January 19, 2027, the Company meets the continued listing requirement for market value of publicly held shares and all other applicable standards for initial listing on the Nasdaq Capital Market (with the exception of the closing bid price requirement) based on the Company’s then most recent public filings and market information, and the Company provides written notice to Nasdaq of its intent to cure during such additional compliance period of 180 calendar days the deficiency in the Company’s compliance with the minimum closing bid price requirement of Rule 5550(a)(2), including, without limitation, by effecting a reverse stock split,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intends to monitor closely the closing bid price of its common stock and to consider plans for regaining compliance with Rule 5550(a)(2). While the Company plans to review all available options, there can be no assurance that it will be able to regain compliance with the applicable rules during the 180-day compliance period ending on January 19, 2027, any additional compliance period,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1730"/>
        <w:gridCol w:w="545"/>
        <w:gridCol w:w="309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E. Onsi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702</Words>
  <Characters>3803</Characters>
  <CharactersWithSpaces>4512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