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92026_100822.xml.htm"/>
      <w:bookmarkStart w:id="1" w:name="ksform408192026_1008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Winklevoss Capital Fund, LLC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FARMERS BANK BUILDING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N. MARKET STREET, SUITE 1463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CYPHERPUNK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CYPH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24"/>
        <w:gridCol w:w="916"/>
        <w:gridCol w:w="789"/>
        <w:gridCol w:w="608"/>
        <w:gridCol w:w="327"/>
        <w:gridCol w:w="1252"/>
        <w:gridCol w:w="384"/>
        <w:gridCol w:w="727"/>
        <w:gridCol w:w="1309"/>
        <w:gridCol w:w="920"/>
        <w:gridCol w:w="134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62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62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X</w:t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16,570,852</w:t>
            </w:r>
          </w:p>
        </w:tc>
        <w:tc>
          <w:tcPr>
            <w:tcW w:w="3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0.001</w:t>
            </w:r>
          </w:p>
        </w:tc>
        <w:tc>
          <w:tcPr>
            <w:tcW w:w="13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24,854,613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Winklevoss Treasury Investments,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444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85"/>
        <w:gridCol w:w="861"/>
        <w:gridCol w:w="891"/>
        <w:gridCol w:w="771"/>
        <w:gridCol w:w="591"/>
        <w:gridCol w:w="300"/>
        <w:gridCol w:w="1071"/>
        <w:gridCol w:w="1071"/>
        <w:gridCol w:w="906"/>
        <w:gridCol w:w="801"/>
        <w:gridCol w:w="891"/>
        <w:gridCol w:w="1221"/>
        <w:gridCol w:w="801"/>
        <w:gridCol w:w="1176"/>
        <w:gridCol w:w="831"/>
        <w:gridCol w:w="1176"/>
      </w:tblGrid>
      <w:tr>
        <w:trPr>
          <w:tblHeader w:val="true"/>
        </w:trPr>
        <w:tc>
          <w:tcPr>
            <w:tcW w:w="1444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21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Pre-Funded Warrant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X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16,570,852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16,570,852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0.5196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58,877,766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Winklevoss Treasury Investments,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0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Pre-Funded Warrant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43,290,042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43,290,042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0.77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102,167,808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Winklevoss Treasury Investments,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8">
                    <w:r>
                      <w:rPr>
                        <w:rStyle w:val="InternetLink"/>
                      </w:rPr>
                      <w:t>Winklevoss Capital Fund, LLC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FARMERS BANK BUILDING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N. MARKET STREET, SUITE 1463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Winklevoss Treasury Investments, LLC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FARMERS BANK BUILDING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N. MARKET STREET, SUITE 1463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0">
                    <w:r>
                      <w:rPr>
                        <w:rStyle w:val="InternetLink"/>
                      </w:rPr>
                      <w:t>Winklevoss Tyler Howard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FARMERS BANK BUILDING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N. MARKET STREET, SUITE 1463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1">
                    <w:r>
                      <w:rPr>
                        <w:rStyle w:val="InternetLink"/>
                      </w:rPr>
                      <w:t>Winklevoss Cameron Howard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FARMERS BANK BUILDING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N. MARKET STREET, SUITE 1463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2">
                    <w:r>
                      <w:rPr>
                        <w:rStyle w:val="InternetLink"/>
                      </w:rPr>
                      <w:t>Winklevoss Capital Management, LLC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FARMERS BANK BUILDING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N. MARKET STREET, SUITE 1463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are held by Winklevoss Treasury Investments, LLC ("WTI"), which is a wholly owned subsidiary of Winklevoss Capital Fund, LLC ("WCF"). Winklevoss Capital Management, LLC ("WCM") is the manager of WCF and Tyler Winklevoss and Cameron Winklevoss are the co-founders and managers of WCM. Each of the Reporting Persons disclaims beneficial ownership of these securities except to the extent of its or his pecuniary interest therein.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Pre-Funded Warrants have no expiration date and are exercisable immediately. Notwithstanding the foregoing, the Reporting Persons shall not be entitled to exercise the Pre-Funded Warrant if it would cause the aggregate number of shares of Common Stock beneficially owned by the Reporting Persons, their affiliates and any persons who are members of a Section 13(d) group with the Reporting Persons or their affiliates to exceed 19.99% of the total number of issued and outstanding shares of Common Stock of the Issuer following such exercise.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Pursuant to an Asset Purchase Agreement dated August 17, 2026, WTI received Pre-Funded Warrants to purchase 43,290,042 shares of Common Stock as consideration for the sale of certain assets and rights.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Winklevoss Capital Management, LLC, By /s/ Cameron H. Winklevoss, Manager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Winklevoss Capital Fund, LLC, By Winklevoss Capital Management, LLC, Its Manager, By /s/ Cameron H. Winklevoss, Manager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Winklevoss Treasury Investments, LLC, By /s/ William McEvoy, Manager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Cameron H. Winklevoss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Tyler H. Winklevoss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5726" TargetMode="External"/><Relationship Id="rId5" Type="http://schemas.openxmlformats.org/officeDocument/2006/relationships/hyperlink" Target="http://www.sec.gov/cgi-bin/browse-edgar?action=getcompany&amp;CIK=00015097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hyperlink" Target="http://www.sec.gov/cgi-bin/browse-edgar?action=getcompany&amp;CIK=0002085726" TargetMode="External"/><Relationship Id="rId9" Type="http://schemas.openxmlformats.org/officeDocument/2006/relationships/hyperlink" Target="http://www.sec.gov/cgi-bin/browse-edgar?action=getcompany&amp;CIK=0002092602" TargetMode="External"/><Relationship Id="rId10" Type="http://schemas.openxmlformats.org/officeDocument/2006/relationships/hyperlink" Target="http://www.sec.gov/cgi-bin/browse-edgar?action=getcompany&amp;CIK=0002084694" TargetMode="External"/><Relationship Id="rId11" Type="http://schemas.openxmlformats.org/officeDocument/2006/relationships/hyperlink" Target="http://www.sec.gov/cgi-bin/browse-edgar?action=getcompany&amp;CIK=0002084695" TargetMode="External"/><Relationship Id="rId12" Type="http://schemas.openxmlformats.org/officeDocument/2006/relationships/hyperlink" Target="http://www.sec.gov/cgi-bin/browse-edgar?action=getcompany&amp;CIK=0002096657" TargetMode="Externa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992</Words>
  <Characters>5567</Characters>
  <CharactersWithSpaces>6385</CharactersWithSpaces>
  <Paragraphs>202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