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23453d1_8k.htm"/>
      <w:bookmarkStart w:id="1" w:name="kstm2623453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9_edei--DocumentType_c20260817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20240" cy="438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0240" cy="43878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Cypherpunk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255"/>
        <w:gridCol w:w="60"/>
        <w:gridCol w:w="1340"/>
        <w:gridCol w:w="60"/>
        <w:gridCol w:w="1775"/>
      </w:tblGrid>
      <w:tr>
        <w:trPr/>
        <w:tc>
          <w:tcPr>
            <w:tcW w:w="2255"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sz w:val="20"/>
              </w:rPr>
            </w:pPr>
            <w:bookmarkStart w:id="6" w:name="xdx_904_edei--EntityFileNumber_c20260817"/>
            <w:bookmarkEnd w:id="6"/>
            <w:r>
              <w:rPr>
                <w:b/>
                <w:sz w:val="20"/>
              </w:rPr>
              <w:t>001-37990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F_edei--EntityTaxIdentificationNum"/>
            <w:bookmarkEnd w:id="7"/>
            <w:r>
              <w:rPr>
                <w:b/>
                <w:sz w:val="20"/>
              </w:rPr>
              <w:t>27-4412575</w:t>
            </w:r>
          </w:p>
        </w:tc>
      </w:tr>
      <w:tr>
        <w:trPr/>
        <w:tc>
          <w:tcPr>
            <w:tcW w:w="2255" w:type="dxa"/>
            <w:tcBorders/>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 xml:space="preserve">(Commission </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47 Thorndike Street, </w:t>
      </w:r>
      <w:bookmarkStart w:id="9" w:name="xdx_901_edei--EntityAddressAddressLine2_"/>
      <w:bookmarkEnd w:id="9"/>
      <w:r>
        <w:rPr>
          <w:rFonts w:ascii="Times New Roman;Times;Serif" w:hAnsi="Times New Roman;Times;Serif"/>
          <w:b/>
          <w:i w:val="false"/>
          <w:caps w:val="false"/>
          <w:smallCaps w:val="false"/>
          <w:sz w:val="20"/>
        </w:rPr>
        <w:t>Suite B1-1</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Cambridge, </w:t>
      </w:r>
      <w:bookmarkStart w:id="11" w:name="xdx_90F_edei--EntityAddressStateOrProvin"/>
      <w:bookmarkEnd w:id="11"/>
      <w:r>
        <w:rPr>
          <w:rFonts w:ascii="Times New Roman;Times;Serif" w:hAnsi="Times New Roman;Times;Serif"/>
          <w:b/>
          <w:i w:val="false"/>
          <w:caps w:val="false"/>
          <w:smallCaps w:val="false"/>
          <w:sz w:val="20"/>
        </w:rPr>
        <w:t xml:space="preserve">MA </w:t>
      </w:r>
      <w:bookmarkStart w:id="12" w:name="xdx_90D_edei--EntityAddressPostalZipCode"/>
      <w:bookmarkEnd w:id="12"/>
      <w:r>
        <w:rPr>
          <w:rFonts w:ascii="Times New Roman;Times;Serif" w:hAnsi="Times New Roman;Times;Serif"/>
          <w:b/>
          <w:i w:val="false"/>
          <w:caps w:val="false"/>
          <w:smallCaps w:val="false"/>
          <w:sz w:val="20"/>
        </w:rPr>
        <w:t>02141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E_edei--CityAreaCode_c20260817__20"/>
      <w:bookmarkEnd w:id="13"/>
      <w:r>
        <w:rPr>
          <w:rFonts w:ascii="Times New Roman;Times;Serif" w:hAnsi="Times New Roman;Times;Serif"/>
          <w:b/>
          <w:i w:val="false"/>
          <w:caps w:val="false"/>
          <w:smallCaps w:val="false"/>
          <w:sz w:val="20"/>
        </w:rPr>
        <w:t xml:space="preserve">617) </w:t>
      </w:r>
      <w:bookmarkStart w:id="14" w:name="xdx_905_edei--LocalPhoneNumber_c20260817"/>
      <w:bookmarkEnd w:id="14"/>
      <w:r>
        <w:rPr>
          <w:rFonts w:ascii="Times New Roman;Times;Serif" w:hAnsi="Times New Roman;Times;Serif"/>
          <w:b/>
          <w:i w:val="false"/>
          <w:caps w:val="false"/>
          <w:smallCaps w:val="false"/>
          <w:sz w:val="20"/>
        </w:rPr>
        <w:t>714-0360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center"/>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5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center"/>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sz w:val="20"/>
              </w:rPr>
            </w:pPr>
            <w:bookmarkStart w:id="19" w:name="xdx_904_edei--Security12bTitle_c20260817"/>
            <w:bookmarkEnd w:id="19"/>
            <w:r>
              <w:rPr>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7_edei--TradingSymbol_c20260817__2"/>
            <w:bookmarkEnd w:id="20"/>
            <w:r>
              <w:rPr>
                <w:sz w:val="20"/>
              </w:rPr>
              <w:t>CYPH</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r>
              <w:rPr>
                <w:sz w:val="20"/>
              </w:rPr>
              <w:t xml:space="preserve">The </w:t>
            </w:r>
            <w:bookmarkStart w:id="21" w:name="xdx_902_edei--SecurityExchangeName_c2026"/>
            <w:bookmarkEnd w:id="21"/>
            <w:r>
              <w:rPr>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980"/>
        <w:gridCol w:w="4415"/>
      </w:tblGrid>
      <w:tr>
        <w:trPr/>
        <w:tc>
          <w:tcPr>
            <w:tcW w:w="980"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 Purchase Agreement and Pre-Funded Warrant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“Closing Date”), Cypherpunk Technologies Inc., a Delaware corporation (the “Company”) entered into an Asset Purchase Agreement (the “APA”) with Moria Mining, LLC, a Delaware limited liability company (the “Seller”), Winklevoss Treasury Investments, LLC, a Delaware limited liability company and an affiliate of Seller (“WTI” and together with Seller, the “Seller Parties”), and Cypherpunk Mining LLC, a Delaware limited liability company and a wholly owned subsidiary of the Company (the “Buyer” and together with the Company, the “Buyer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APA, the Buyer agreed (i) to purchase and acquire from the Seller certain assets and rights (collectively, the “Purchased Assets”), consisting solely of (a) the Mining Equipment (as defined in the APA), (b) the Hosting Agreements (as defined in the APA) and (c) the other assets, properties and rights described in Section 1.01 of the APA, at an aggregate purchase price of $33,333,333, payable in the form of a pre-funded warrant to purchase 43,290,042 shares (the “Warrant Shares”) of common stock, par value $0.001 per share (“Common Stock”), of the Company (the “Pre-Funded Warrant”) to be issued by the Company to WTI at the Closing (as defined in the APA) and (ii) to assume and pay, perform, fulfill and discharge all Liabilities (as defined in the APA) of Seller arising out of or relating to the Purchased Assets, on or after the Closing, other than the Excluded Liabilities (as defined in the APA) (the “Sale Transaction”).</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the Pre-Funded Warrant is equal to $0.001 per Warrant Share. The exercise price per share of the Pre-Funded Warrant and the number and kind of Warrant Shares issuable upon exercise of the Pre-Funded Warrant are subject to adjustment in the event of certain stock dividends, stock splits, stock combinations, or similar events affecting the Common Stock. Subject to certain limitations on the right to exercise the Pre-Funded Warrant that are set forth in the Pre-Funded Warrant and described in summary form below, the Pre-Funded Warrant is exercisable at any time after the date of issuance, either in cash or by means of a cashless exercise and will not expire until the date the Pre-Funded Warrant is fully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 may not be exercised if the aggregate number of shares of Common Stock beneficially owned by the holder thereof (together with its affiliates) immediately following such exercise would exceed 19.99% of the number of shares of the Common Stock outstanding immediately after giving effect to the issuance of Warrant Shares upon exercise of the Pre-Funded Warrant; provided, however, that a holder may increase or decrease the beneficial ownership limitation by giving notice to the Company (with 61 days’ notice required for increases), but not to any percentage in excess of 19.99%. The Company will submit to its stockholders at its next annual meeting a proposal to approve, in accordance with applicable Nasdaq rules, the issuance of the Warrant Shares upon exercise of the Pre-Funded Warrant in excess of 5,377,442, which is approximately equal to 4.99% of the shares of Common Stock issued and outstanding immediately prior to the signing of the APA, and the removal of the other limitations on exercise set forth in the Pre-Funded Warrant (the “Stockholder Proposal”). The Company is obligated to use commercially reasonable efforts to obtain stockholder approval of the Stockholder Proposal at the next annual meeting of the Company's stockholders (the “Stockholder Meeting Deadline”). If, despite the Company’s commercially reasonable best efforts, the Company is unable to obtain stockholder approval on or prior to the Stockholder Meeting Deadline, the Company is required to use commercially reasonable efforts to promptly obtain approval of the Stockholder Proposal, including by seeking such approval at the next-occurring annual meeting of the Company’s stockholders until the Stockholder Proposal is approved. In addition, WTI is required to participate and vote all voting securities of the Company held by it, or over which it exercises voting power (other than any Warrant Shares which are not entitled to vote on the Stockholder Proposal pursuant to Section 2(f) of the Pre-Funded Warrant and applicable Nasdaq Listing Rules), to approve the Stockholder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contains representations, warranties, covenants and indemnification provisions of each of the Seller Parties and the Buyer Parties that are customary for transactions similar to the Sale Transaction.</w:t>
      </w:r>
    </w:p>
    <w:p>
      <w:pPr>
        <w:pStyle w:val="TextBody"/>
        <w:shd w:fill="FFFFFF" w:val="clear"/>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contains representations and warranties that the parties thereto made to, and are solely for the benefit of, each other. Investors and security holders should not rely on such representations and warranties as characterizations of the actual state of facts since they were made only as of the date of the APA. Moreover, information concerning the subject matter of such representations and warranties might change after the date of the APA, which subsequent information might or might not be fully reflected in public disclosures.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is an affiliate of WTI. WTI beneficially owns 19.9% of Company’s stock. As previously disclosed in a Current Report on Form 8-K filed with the U.S. Securities Exchange Commission on October 9, 2025, WTI previously entered into an agreement with the Company giving WTI the right to designate two directors to the Board of Directors of the Company (the “Board”). WTI has exercised those rights to appoint Mr. William McEvoy and Mr. Khing Oei to the Board. In accordance with Company's Related Person Transaction Policy, the transaction was approved by Nominating and Corporate Governance Committee.</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APA and the Pre-Funded Warrant does not purport to be complete and is qualified in its entirety by reference to the full text of the APA and the Pre-Funded Warrant, copies of which are filed as Exhibit 1.1 and Exhibit 4.1, respectively,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Amendment to the Registration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October 6, 2025, the Company entered into a Registration Rights Agreement (the “Registration Rights Agreement”), pursuant to which the Company agreed to file a registration statement covering the resale of all Registrable Securities (as defined in the Registration Rights Agreement).</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and the holders of a majority of the Registrable Securities then subject to the Registration Rights Agreement, entered into a first amendment to the Registration Rights Agreement (the “First RRA Amendment”). Pursuant to the First RRA Amendment, in connection with the issuance of the Pre-Funded Warrant, the parties agreed to, among other things, amend the definition of “Registrable Securities” to include all shares of Common Stock and any Common Stock issued or issuable upon the exercise or conversion of any other securities (whether equity, debt or otherwise) of the Company currently owned or hereafter acquired by WTI on the terms set forth in the Registration Rights Agreement as amended by the First RRA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First RRA Amendment does not purport to be complete and is qualified in its entirety by reference to the complete text of the First RRA Amendment, a copy of which is filed with this Current Report on Form 8-K as Exhibit 10.1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980"/>
        <w:gridCol w:w="4025"/>
      </w:tblGrid>
      <w:tr>
        <w:trPr/>
        <w:tc>
          <w:tcPr>
            <w:tcW w:w="980" w:type="dxa"/>
            <w:tcBorders/>
            <w:vAlign w:val="center"/>
          </w:tcPr>
          <w:p>
            <w:pPr>
              <w:pStyle w:val="TableContents"/>
              <w:bidi w:val="0"/>
              <w:spacing w:before="0" w:after="283"/>
              <w:jc w:val="left"/>
              <w:rPr>
                <w:b/>
              </w:rPr>
            </w:pPr>
            <w:r>
              <w:rPr>
                <w:b/>
              </w:rPr>
              <w:t>Item 3.02</w:t>
            </w:r>
          </w:p>
        </w:tc>
        <w:tc>
          <w:tcPr>
            <w:tcW w:w="4025" w:type="dxa"/>
            <w:tcBorders/>
            <w:vAlign w:val="center"/>
          </w:tcPr>
          <w:p>
            <w:pPr>
              <w:pStyle w:val="TableContents"/>
              <w:bidi w:val="0"/>
              <w:spacing w:before="0" w:after="283"/>
              <w:jc w:val="both"/>
              <w:rPr>
                <w:b/>
              </w:rPr>
            </w:pPr>
            <w:r>
              <w:rPr>
                <w:b/>
              </w:rPr>
              <w:t>Unregistered Sales of Equity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relating to the description of the Pre-Funded Warrant and Warrant Shares is hereby incorporated by reference into this Item 3.02. The Pre-Funded Warrant was, or will be, as the case may be, offered and sold pursuant to an exemption from the registration requirements of were, or will be, as the case may be, of the Securities Act of 1933, as amended (the “Securities Act”), under Section 4(a)(2) and Rule 506(b) of Regulation D of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Current Report on Form 8-K nor any exhibit attached hereto is an offer to sell or the solicitation of an offer to buy shares of Common Stock or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issued a press release titled “Cypherpunk Technologies Launches World’s Largest Zcash Mining Fleet”. The full text of the press release is attached as Exhibit 99.1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7"/>
        <w:gridCol w:w="60"/>
        <w:gridCol w:w="9218"/>
      </w:tblGrid>
      <w:tr>
        <w:trPr/>
        <w:tc>
          <w:tcPr>
            <w:tcW w:w="927" w:type="dxa"/>
            <w:tcBorders>
              <w:bottom w:val="single" w:sz="8" w:space="0" w:color="000000"/>
            </w:tcBorders>
            <w:vAlign w:val="center"/>
          </w:tcPr>
          <w:p>
            <w:pPr>
              <w:pStyle w:val="TableContents"/>
              <w:bidi w:val="0"/>
              <w:spacing w:before="0" w:after="283"/>
              <w:jc w:val="center"/>
              <w:rPr/>
            </w:pPr>
            <w:r>
              <w:rPr>
                <w:b/>
              </w:rPr>
              <w:t>Exhibit</w:t>
              <w:br/>
              <w:t>Number</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9218" w:type="dxa"/>
            <w:tcBorders>
              <w:bottom w:val="single" w:sz="8" w:space="0" w:color="000000"/>
            </w:tcBorders>
            <w:vAlign w:val="center"/>
          </w:tcPr>
          <w:p>
            <w:pPr>
              <w:pStyle w:val="TableContents"/>
              <w:bidi w:val="0"/>
              <w:spacing w:before="0" w:after="283"/>
              <w:jc w:val="center"/>
              <w:rPr/>
            </w:pPr>
            <w:r>
              <w:rPr>
                <w:b/>
              </w:rPr>
              <w:t>Description</w:t>
            </w:r>
            <w:r>
              <w:rPr/>
              <w:t xml:space="preserve"> </w:t>
            </w:r>
          </w:p>
        </w:tc>
      </w:tr>
      <w:tr>
        <w:trPr/>
        <w:tc>
          <w:tcPr>
            <w:tcW w:w="927" w:type="dxa"/>
            <w:tcBorders/>
            <w:tcMar>
              <w:bottom w:w="0" w:type="dxa"/>
            </w:tcMar>
            <w:vAlign w:val="center"/>
          </w:tcPr>
          <w:p>
            <w:pPr>
              <w:pStyle w:val="TableContents"/>
              <w:bidi w:val="0"/>
              <w:spacing w:before="0" w:after="283"/>
              <w:jc w:val="center"/>
              <w:rPr/>
            </w:pPr>
            <w:hyperlink w:anchor="tm2623453d1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218" w:type="dxa"/>
            <w:tcBorders/>
            <w:tcMar>
              <w:bottom w:w="0" w:type="dxa"/>
            </w:tcMar>
            <w:vAlign w:val="center"/>
          </w:tcPr>
          <w:p>
            <w:pPr>
              <w:pStyle w:val="TableContents"/>
              <w:bidi w:val="0"/>
              <w:spacing w:before="0" w:after="283"/>
              <w:jc w:val="both"/>
              <w:rPr/>
            </w:pPr>
            <w:hyperlink w:anchor="tm2623453d1_ex1-1.htm">
              <w:r>
                <w:rPr>
                  <w:rStyle w:val="InternetLink"/>
                  <w:rFonts w:ascii="Times New Roman;Times;Serif" w:hAnsi="Times New Roman;Times;Serif"/>
                  <w:sz w:val="20"/>
                </w:rPr>
                <w:t>Asset Purchase Agreement, dated August 17, 2026, by and among the Company, Moria Mining, LLC, Winklevoss Treasury Investments, LLC and Cypherpunk Mining LLC.</w:t>
              </w:r>
            </w:hyperlink>
          </w:p>
        </w:tc>
      </w:tr>
      <w:tr>
        <w:trPr/>
        <w:tc>
          <w:tcPr>
            <w:tcW w:w="927" w:type="dxa"/>
            <w:tcBorders/>
            <w:tcMar>
              <w:bottom w:w="0" w:type="dxa"/>
            </w:tcMar>
            <w:vAlign w:val="center"/>
          </w:tcPr>
          <w:p>
            <w:pPr>
              <w:pStyle w:val="TableContents"/>
              <w:bidi w:val="0"/>
              <w:spacing w:before="0" w:after="283"/>
              <w:jc w:val="center"/>
              <w:rPr/>
            </w:pPr>
            <w:hyperlink w:anchor="tm2623453d1_ex4-1.htm">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18" w:type="dxa"/>
            <w:tcBorders/>
            <w:tcMar>
              <w:bottom w:w="0" w:type="dxa"/>
            </w:tcMar>
            <w:vAlign w:val="center"/>
          </w:tcPr>
          <w:p>
            <w:pPr>
              <w:pStyle w:val="TableContents"/>
              <w:bidi w:val="0"/>
              <w:spacing w:before="0" w:after="283"/>
              <w:jc w:val="left"/>
              <w:rPr/>
            </w:pPr>
            <w:hyperlink w:anchor="tm2623453d1_ex4-1.htm">
              <w:r>
                <w:rPr>
                  <w:rStyle w:val="InternetLink"/>
                  <w:rFonts w:ascii="Times New Roman;Times;Serif" w:hAnsi="Times New Roman;Times;Serif"/>
                  <w:sz w:val="20"/>
                </w:rPr>
                <w:t>Form of Pre-Funded Warrant to Purchase Common Stock.</w:t>
              </w:r>
            </w:hyperlink>
          </w:p>
        </w:tc>
      </w:tr>
      <w:tr>
        <w:trPr/>
        <w:tc>
          <w:tcPr>
            <w:tcW w:w="927" w:type="dxa"/>
            <w:tcBorders/>
            <w:tcMar>
              <w:bottom w:w="0" w:type="dxa"/>
            </w:tcMar>
            <w:vAlign w:val="center"/>
          </w:tcPr>
          <w:p>
            <w:pPr>
              <w:pStyle w:val="TableContents"/>
              <w:bidi w:val="0"/>
              <w:spacing w:before="0" w:after="283"/>
              <w:jc w:val="center"/>
              <w:rPr/>
            </w:pPr>
            <w:hyperlink w:anchor="tm2623453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218" w:type="dxa"/>
            <w:tcBorders/>
            <w:tcMar>
              <w:bottom w:w="0" w:type="dxa"/>
            </w:tcMar>
            <w:vAlign w:val="center"/>
          </w:tcPr>
          <w:p>
            <w:pPr>
              <w:pStyle w:val="TableContents"/>
              <w:bidi w:val="0"/>
              <w:spacing w:before="0" w:after="283"/>
              <w:jc w:val="left"/>
              <w:rPr/>
            </w:pPr>
            <w:hyperlink w:anchor="tm2623453d1_ex10-1.htm">
              <w:r>
                <w:rPr>
                  <w:rStyle w:val="InternetLink"/>
                  <w:rFonts w:ascii="Times New Roman;Times;Serif" w:hAnsi="Times New Roman;Times;Serif"/>
                  <w:sz w:val="20"/>
                </w:rPr>
                <w:t>First Amendment to Form of Registration Rights Agreement.</w:t>
              </w:r>
            </w:hyperlink>
          </w:p>
        </w:tc>
      </w:tr>
      <w:tr>
        <w:trPr/>
        <w:tc>
          <w:tcPr>
            <w:tcW w:w="927" w:type="dxa"/>
            <w:tcBorders/>
            <w:tcMar>
              <w:bottom w:w="0" w:type="dxa"/>
            </w:tcMar>
            <w:vAlign w:val="center"/>
          </w:tcPr>
          <w:p>
            <w:pPr>
              <w:pStyle w:val="TableContents"/>
              <w:bidi w:val="0"/>
              <w:spacing w:before="0" w:after="283"/>
              <w:jc w:val="center"/>
              <w:rPr/>
            </w:pPr>
            <w:hyperlink w:anchor="tm262345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18" w:type="dxa"/>
            <w:tcBorders/>
            <w:tcMar>
              <w:bottom w:w="0" w:type="dxa"/>
            </w:tcMar>
            <w:vAlign w:val="center"/>
          </w:tcPr>
          <w:p>
            <w:pPr>
              <w:pStyle w:val="TableContents"/>
              <w:bidi w:val="0"/>
              <w:spacing w:before="0" w:after="283"/>
              <w:jc w:val="left"/>
              <w:rPr/>
            </w:pPr>
            <w:hyperlink w:anchor="tm2623453d1_ex99-1.htm">
              <w:r>
                <w:rPr>
                  <w:rStyle w:val="InternetLink"/>
                  <w:rFonts w:ascii="Times New Roman;Times;Serif" w:hAnsi="Times New Roman;Times;Serif"/>
                  <w:sz w:val="20"/>
                </w:rPr>
                <w:t>Press Release of  Cypherpunk Technologies Inc. dated August 18, 2026.</w:t>
              </w:r>
            </w:hyperlink>
          </w:p>
        </w:tc>
      </w:tr>
      <w:tr>
        <w:trPr/>
        <w:tc>
          <w:tcPr>
            <w:tcW w:w="9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865"/>
        <w:gridCol w:w="34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34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Douglas E. Onsi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E. Onsi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CEO</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3" w:name="tm2623453d1_ex1-1.htm"/>
      <w:bookmarkStart w:id="24" w:name="kstm2623453d1_ex11"/>
      <w:bookmarkEnd w:id="23"/>
      <w:bookmarkEnd w:id="24"/>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MINING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MORIA MINING,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WINKLEVOSS TREASURY INVESTMENTS,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1290"/>
        <w:gridCol w:w="5674"/>
        <w:gridCol w:w="245"/>
      </w:tblGrid>
      <w:tr>
        <w:trPr/>
        <w:tc>
          <w:tcPr>
            <w:tcW w:w="6964" w:type="dxa"/>
            <w:gridSpan w:val="2"/>
            <w:tcBorders/>
            <w:vAlign w:val="center"/>
          </w:tcPr>
          <w:p>
            <w:pPr>
              <w:pStyle w:val="TableContents"/>
              <w:bidi w:val="0"/>
              <w:spacing w:before="0" w:after="283"/>
              <w:jc w:val="left"/>
              <w:rPr>
                <w:sz w:val="20"/>
              </w:rPr>
            </w:pPr>
            <w:r>
              <w:rPr>
                <w:sz w:val="20"/>
              </w:rPr>
              <w:t>ARTICLE I PURCHASE AND SALE</w:t>
            </w:r>
          </w:p>
        </w:tc>
        <w:tc>
          <w:tcPr>
            <w:tcW w:w="245" w:type="dxa"/>
            <w:tcBorders/>
            <w:vAlign w:val="center"/>
          </w:tcPr>
          <w:p>
            <w:pPr>
              <w:pStyle w:val="TableContents"/>
              <w:bidi w:val="0"/>
              <w:spacing w:before="0" w:after="283"/>
              <w:jc w:val="right"/>
              <w:rPr/>
            </w:pPr>
            <w:r>
              <w:rPr/>
              <w:t>2</w:t>
            </w:r>
          </w:p>
        </w:tc>
      </w:tr>
      <w:tr>
        <w:trPr/>
        <w:tc>
          <w:tcPr>
            <w:tcW w:w="1290" w:type="dxa"/>
            <w:tcBorders/>
            <w:vAlign w:val="center"/>
          </w:tcPr>
          <w:p>
            <w:pPr>
              <w:pStyle w:val="TableContents"/>
              <w:bidi w:val="0"/>
              <w:spacing w:before="0" w:after="283"/>
              <w:jc w:val="left"/>
              <w:rPr>
                <w:b/>
                <w:sz w:val="20"/>
              </w:rPr>
            </w:pPr>
            <w:r>
              <w:rPr>
                <w:b/>
                <w:sz w:val="20"/>
              </w:rPr>
              <w:t>Section 1.01</w:t>
            </w:r>
          </w:p>
        </w:tc>
        <w:tc>
          <w:tcPr>
            <w:tcW w:w="5674" w:type="dxa"/>
            <w:tcBorders/>
            <w:vAlign w:val="center"/>
          </w:tcPr>
          <w:p>
            <w:pPr>
              <w:pStyle w:val="TableContents"/>
              <w:bidi w:val="0"/>
              <w:spacing w:before="0" w:after="283"/>
              <w:jc w:val="left"/>
              <w:rPr>
                <w:b/>
                <w:sz w:val="20"/>
              </w:rPr>
            </w:pPr>
            <w:r>
              <w:rPr>
                <w:b/>
                <w:sz w:val="20"/>
              </w:rPr>
              <w:t>Purchase and Sale of Assets</w:t>
            </w:r>
          </w:p>
        </w:tc>
        <w:tc>
          <w:tcPr>
            <w:tcW w:w="245" w:type="dxa"/>
            <w:tcBorders/>
            <w:vAlign w:val="center"/>
          </w:tcPr>
          <w:p>
            <w:pPr>
              <w:pStyle w:val="TableContents"/>
              <w:bidi w:val="0"/>
              <w:spacing w:before="0" w:after="283"/>
              <w:jc w:val="right"/>
              <w:rPr>
                <w:sz w:val="20"/>
              </w:rPr>
            </w:pPr>
            <w:r>
              <w:rPr>
                <w:sz w:val="20"/>
              </w:rPr>
              <w:t>2</w:t>
            </w:r>
          </w:p>
        </w:tc>
      </w:tr>
      <w:tr>
        <w:trPr/>
        <w:tc>
          <w:tcPr>
            <w:tcW w:w="1290" w:type="dxa"/>
            <w:tcBorders/>
            <w:vAlign w:val="center"/>
          </w:tcPr>
          <w:p>
            <w:pPr>
              <w:pStyle w:val="TableContents"/>
              <w:bidi w:val="0"/>
              <w:spacing w:before="0" w:after="283"/>
              <w:jc w:val="left"/>
              <w:rPr>
                <w:b/>
                <w:sz w:val="20"/>
              </w:rPr>
            </w:pPr>
            <w:r>
              <w:rPr>
                <w:b/>
                <w:sz w:val="20"/>
              </w:rPr>
              <w:t>Section 1.02</w:t>
            </w:r>
          </w:p>
        </w:tc>
        <w:tc>
          <w:tcPr>
            <w:tcW w:w="5674" w:type="dxa"/>
            <w:tcBorders/>
            <w:vAlign w:val="center"/>
          </w:tcPr>
          <w:p>
            <w:pPr>
              <w:pStyle w:val="TableContents"/>
              <w:bidi w:val="0"/>
              <w:spacing w:before="0" w:after="283"/>
              <w:jc w:val="left"/>
              <w:rPr>
                <w:b/>
                <w:sz w:val="20"/>
              </w:rPr>
            </w:pPr>
            <w:r>
              <w:rPr>
                <w:b/>
                <w:sz w:val="20"/>
              </w:rPr>
              <w:t>Excluded Assets</w:t>
            </w:r>
          </w:p>
        </w:tc>
        <w:tc>
          <w:tcPr>
            <w:tcW w:w="245" w:type="dxa"/>
            <w:tcBorders/>
            <w:vAlign w:val="center"/>
          </w:tcPr>
          <w:p>
            <w:pPr>
              <w:pStyle w:val="TableContents"/>
              <w:bidi w:val="0"/>
              <w:spacing w:before="0" w:after="283"/>
              <w:jc w:val="right"/>
              <w:rPr>
                <w:sz w:val="20"/>
              </w:rPr>
            </w:pPr>
            <w:r>
              <w:rPr>
                <w:sz w:val="20"/>
              </w:rPr>
              <w:t>2</w:t>
            </w:r>
          </w:p>
        </w:tc>
      </w:tr>
      <w:tr>
        <w:trPr/>
        <w:tc>
          <w:tcPr>
            <w:tcW w:w="1290" w:type="dxa"/>
            <w:tcBorders/>
            <w:vAlign w:val="center"/>
          </w:tcPr>
          <w:p>
            <w:pPr>
              <w:pStyle w:val="TableContents"/>
              <w:bidi w:val="0"/>
              <w:spacing w:before="0" w:after="283"/>
              <w:jc w:val="left"/>
              <w:rPr>
                <w:b/>
                <w:sz w:val="20"/>
              </w:rPr>
            </w:pPr>
            <w:r>
              <w:rPr>
                <w:b/>
                <w:sz w:val="20"/>
              </w:rPr>
              <w:t>Section 1.03</w:t>
            </w:r>
          </w:p>
        </w:tc>
        <w:tc>
          <w:tcPr>
            <w:tcW w:w="5674" w:type="dxa"/>
            <w:tcBorders/>
            <w:vAlign w:val="center"/>
          </w:tcPr>
          <w:p>
            <w:pPr>
              <w:pStyle w:val="TableContents"/>
              <w:bidi w:val="0"/>
              <w:spacing w:before="0" w:after="283"/>
              <w:jc w:val="left"/>
              <w:rPr>
                <w:b/>
                <w:sz w:val="20"/>
              </w:rPr>
            </w:pPr>
            <w:r>
              <w:rPr>
                <w:b/>
                <w:sz w:val="20"/>
              </w:rPr>
              <w:t>Consideration</w:t>
            </w:r>
          </w:p>
        </w:tc>
        <w:tc>
          <w:tcPr>
            <w:tcW w:w="245" w:type="dxa"/>
            <w:tcBorders/>
            <w:vAlign w:val="center"/>
          </w:tcPr>
          <w:p>
            <w:pPr>
              <w:pStyle w:val="TableContents"/>
              <w:bidi w:val="0"/>
              <w:spacing w:before="0" w:after="283"/>
              <w:jc w:val="right"/>
              <w:rPr/>
            </w:pPr>
            <w:r>
              <w:rPr/>
              <w:t>3</w:t>
            </w:r>
          </w:p>
        </w:tc>
      </w:tr>
      <w:tr>
        <w:trPr/>
        <w:tc>
          <w:tcPr>
            <w:tcW w:w="1290" w:type="dxa"/>
            <w:tcBorders/>
            <w:vAlign w:val="center"/>
          </w:tcPr>
          <w:p>
            <w:pPr>
              <w:pStyle w:val="TableContents"/>
              <w:bidi w:val="0"/>
              <w:spacing w:before="0" w:after="283"/>
              <w:jc w:val="left"/>
              <w:rPr>
                <w:b/>
                <w:sz w:val="20"/>
              </w:rPr>
            </w:pPr>
            <w:r>
              <w:rPr>
                <w:b/>
                <w:sz w:val="20"/>
              </w:rPr>
              <w:t>Section 1.04</w:t>
            </w:r>
          </w:p>
        </w:tc>
        <w:tc>
          <w:tcPr>
            <w:tcW w:w="5674" w:type="dxa"/>
            <w:tcBorders/>
            <w:vAlign w:val="center"/>
          </w:tcPr>
          <w:p>
            <w:pPr>
              <w:pStyle w:val="TableContents"/>
              <w:bidi w:val="0"/>
              <w:spacing w:before="0" w:after="283"/>
              <w:jc w:val="left"/>
              <w:rPr>
                <w:b/>
                <w:sz w:val="20"/>
              </w:rPr>
            </w:pPr>
            <w:r>
              <w:rPr>
                <w:b/>
                <w:sz w:val="20"/>
              </w:rPr>
              <w:t>Assumed Liabilities; No Historical Liabilities Assumed</w:t>
            </w:r>
          </w:p>
        </w:tc>
        <w:tc>
          <w:tcPr>
            <w:tcW w:w="245" w:type="dxa"/>
            <w:tcBorders/>
            <w:vAlign w:val="center"/>
          </w:tcPr>
          <w:p>
            <w:pPr>
              <w:pStyle w:val="TableContents"/>
              <w:bidi w:val="0"/>
              <w:spacing w:before="0" w:after="283"/>
              <w:jc w:val="right"/>
              <w:rPr>
                <w:sz w:val="20"/>
              </w:rPr>
            </w:pPr>
            <w:r>
              <w:rPr>
                <w:sz w:val="20"/>
              </w:rPr>
              <w:t>3</w:t>
            </w:r>
          </w:p>
        </w:tc>
      </w:tr>
      <w:tr>
        <w:trPr/>
        <w:tc>
          <w:tcPr>
            <w:tcW w:w="1290" w:type="dxa"/>
            <w:tcBorders/>
            <w:vAlign w:val="center"/>
          </w:tcPr>
          <w:p>
            <w:pPr>
              <w:pStyle w:val="TableContents"/>
              <w:bidi w:val="0"/>
              <w:spacing w:before="0" w:after="283"/>
              <w:jc w:val="left"/>
              <w:rPr>
                <w:b/>
                <w:sz w:val="20"/>
              </w:rPr>
            </w:pPr>
            <w:r>
              <w:rPr>
                <w:b/>
                <w:sz w:val="20"/>
              </w:rPr>
              <w:t>Section 1.05</w:t>
            </w:r>
          </w:p>
        </w:tc>
        <w:tc>
          <w:tcPr>
            <w:tcW w:w="5674" w:type="dxa"/>
            <w:tcBorders/>
            <w:vAlign w:val="center"/>
          </w:tcPr>
          <w:p>
            <w:pPr>
              <w:pStyle w:val="TableContents"/>
              <w:bidi w:val="0"/>
              <w:spacing w:before="0" w:after="283"/>
              <w:jc w:val="left"/>
              <w:rPr>
                <w:b/>
                <w:sz w:val="20"/>
              </w:rPr>
            </w:pPr>
            <w:r>
              <w:rPr>
                <w:b/>
                <w:sz w:val="20"/>
              </w:rPr>
              <w:t>Excluded Liabilities</w:t>
            </w:r>
          </w:p>
        </w:tc>
        <w:tc>
          <w:tcPr>
            <w:tcW w:w="245" w:type="dxa"/>
            <w:tcBorders/>
            <w:vAlign w:val="center"/>
          </w:tcPr>
          <w:p>
            <w:pPr>
              <w:pStyle w:val="TableContents"/>
              <w:bidi w:val="0"/>
              <w:spacing w:before="0" w:after="283"/>
              <w:jc w:val="right"/>
              <w:rPr>
                <w:sz w:val="20"/>
              </w:rPr>
            </w:pPr>
            <w:r>
              <w:rPr>
                <w:sz w:val="20"/>
              </w:rPr>
              <w:t>3</w:t>
            </w:r>
          </w:p>
        </w:tc>
      </w:tr>
      <w:tr>
        <w:trPr/>
        <w:tc>
          <w:tcPr>
            <w:tcW w:w="1290" w:type="dxa"/>
            <w:tcBorders/>
            <w:vAlign w:val="center"/>
          </w:tcPr>
          <w:p>
            <w:pPr>
              <w:pStyle w:val="TableContents"/>
              <w:bidi w:val="0"/>
              <w:spacing w:before="0" w:after="283"/>
              <w:jc w:val="left"/>
              <w:rPr>
                <w:b/>
                <w:sz w:val="20"/>
              </w:rPr>
            </w:pPr>
            <w:r>
              <w:rPr>
                <w:b/>
                <w:sz w:val="20"/>
              </w:rPr>
              <w:t>Section 1.06</w:t>
            </w:r>
          </w:p>
        </w:tc>
        <w:tc>
          <w:tcPr>
            <w:tcW w:w="5674" w:type="dxa"/>
            <w:tcBorders/>
            <w:vAlign w:val="center"/>
          </w:tcPr>
          <w:p>
            <w:pPr>
              <w:pStyle w:val="TableContents"/>
              <w:bidi w:val="0"/>
              <w:spacing w:before="0" w:after="283"/>
              <w:jc w:val="left"/>
              <w:rPr>
                <w:b/>
                <w:sz w:val="20"/>
              </w:rPr>
            </w:pPr>
            <w:r>
              <w:rPr>
                <w:b/>
                <w:sz w:val="20"/>
              </w:rPr>
              <w:t>Third-Party Consents</w:t>
            </w:r>
          </w:p>
        </w:tc>
        <w:tc>
          <w:tcPr>
            <w:tcW w:w="245" w:type="dxa"/>
            <w:tcBorders/>
            <w:vAlign w:val="center"/>
          </w:tcPr>
          <w:p>
            <w:pPr>
              <w:pStyle w:val="TableContents"/>
              <w:bidi w:val="0"/>
              <w:spacing w:before="0" w:after="283"/>
              <w:jc w:val="right"/>
              <w:rPr>
                <w:sz w:val="20"/>
              </w:rPr>
            </w:pPr>
            <w:r>
              <w:rPr>
                <w:sz w:val="20"/>
              </w:rPr>
              <w:t>4</w:t>
            </w:r>
          </w:p>
        </w:tc>
      </w:tr>
      <w:tr>
        <w:trPr/>
        <w:tc>
          <w:tcPr>
            <w:tcW w:w="1290" w:type="dxa"/>
            <w:tcBorders/>
            <w:vAlign w:val="center"/>
          </w:tcPr>
          <w:p>
            <w:pPr>
              <w:pStyle w:val="TableContents"/>
              <w:bidi w:val="0"/>
              <w:spacing w:before="0" w:after="283"/>
              <w:jc w:val="left"/>
              <w:rPr>
                <w:b/>
                <w:sz w:val="20"/>
              </w:rPr>
            </w:pPr>
            <w:r>
              <w:rPr>
                <w:b/>
                <w:sz w:val="20"/>
              </w:rPr>
              <w:t>Section 1.07</w:t>
            </w:r>
          </w:p>
        </w:tc>
        <w:tc>
          <w:tcPr>
            <w:tcW w:w="5674" w:type="dxa"/>
            <w:tcBorders/>
            <w:vAlign w:val="center"/>
          </w:tcPr>
          <w:p>
            <w:pPr>
              <w:pStyle w:val="TableContents"/>
              <w:bidi w:val="0"/>
              <w:spacing w:before="0" w:after="283"/>
              <w:jc w:val="left"/>
              <w:rPr>
                <w:b/>
                <w:sz w:val="20"/>
              </w:rPr>
            </w:pPr>
            <w:r>
              <w:rPr>
                <w:b/>
                <w:sz w:val="20"/>
              </w:rPr>
              <w:t>Purchase Price Allocation</w:t>
            </w:r>
          </w:p>
        </w:tc>
        <w:tc>
          <w:tcPr>
            <w:tcW w:w="245" w:type="dxa"/>
            <w:tcBorders/>
            <w:vAlign w:val="center"/>
          </w:tcPr>
          <w:p>
            <w:pPr>
              <w:pStyle w:val="TableContents"/>
              <w:bidi w:val="0"/>
              <w:spacing w:before="0" w:after="283"/>
              <w:jc w:val="right"/>
              <w:rPr>
                <w:sz w:val="20"/>
              </w:rPr>
            </w:pPr>
            <w:r>
              <w:rPr>
                <w:sz w:val="20"/>
              </w:rPr>
              <w:t>4</w:t>
            </w:r>
          </w:p>
        </w:tc>
      </w:tr>
      <w:tr>
        <w:trPr/>
        <w:tc>
          <w:tcPr>
            <w:tcW w:w="6964" w:type="dxa"/>
            <w:gridSpan w:val="2"/>
            <w:tcBorders/>
            <w:vAlign w:val="center"/>
          </w:tcPr>
          <w:p>
            <w:pPr>
              <w:pStyle w:val="TableContents"/>
              <w:bidi w:val="0"/>
              <w:spacing w:before="0" w:after="283"/>
              <w:jc w:val="left"/>
              <w:rPr>
                <w:sz w:val="20"/>
              </w:rPr>
            </w:pPr>
            <w:r>
              <w:rPr>
                <w:sz w:val="20"/>
              </w:rPr>
              <w:t>ARTICLE II CLOSING</w:t>
            </w:r>
          </w:p>
        </w:tc>
        <w:tc>
          <w:tcPr>
            <w:tcW w:w="245" w:type="dxa"/>
            <w:tcBorders/>
            <w:vAlign w:val="center"/>
          </w:tcPr>
          <w:p>
            <w:pPr>
              <w:pStyle w:val="TableContents"/>
              <w:bidi w:val="0"/>
              <w:spacing w:before="0" w:after="283"/>
              <w:jc w:val="right"/>
              <w:rPr>
                <w:sz w:val="20"/>
              </w:rPr>
            </w:pPr>
            <w:r>
              <w:rPr>
                <w:sz w:val="20"/>
              </w:rPr>
              <w:t>5</w:t>
            </w:r>
          </w:p>
        </w:tc>
      </w:tr>
      <w:tr>
        <w:trPr/>
        <w:tc>
          <w:tcPr>
            <w:tcW w:w="1290" w:type="dxa"/>
            <w:tcBorders/>
            <w:vAlign w:val="center"/>
          </w:tcPr>
          <w:p>
            <w:pPr>
              <w:pStyle w:val="TableContents"/>
              <w:bidi w:val="0"/>
              <w:spacing w:before="0" w:after="283"/>
              <w:jc w:val="left"/>
              <w:rPr>
                <w:b/>
                <w:sz w:val="20"/>
              </w:rPr>
            </w:pPr>
            <w:r>
              <w:rPr>
                <w:b/>
                <w:sz w:val="20"/>
              </w:rPr>
              <w:t>Section 2.01</w:t>
            </w:r>
          </w:p>
        </w:tc>
        <w:tc>
          <w:tcPr>
            <w:tcW w:w="5674" w:type="dxa"/>
            <w:tcBorders/>
            <w:vAlign w:val="center"/>
          </w:tcPr>
          <w:p>
            <w:pPr>
              <w:pStyle w:val="TableContents"/>
              <w:bidi w:val="0"/>
              <w:spacing w:before="0" w:after="283"/>
              <w:jc w:val="left"/>
              <w:rPr>
                <w:b/>
                <w:sz w:val="20"/>
              </w:rPr>
            </w:pPr>
            <w:r>
              <w:rPr>
                <w:b/>
                <w:sz w:val="20"/>
              </w:rPr>
              <w:t>Closing</w:t>
            </w:r>
          </w:p>
        </w:tc>
        <w:tc>
          <w:tcPr>
            <w:tcW w:w="245" w:type="dxa"/>
            <w:tcBorders/>
            <w:vAlign w:val="center"/>
          </w:tcPr>
          <w:p>
            <w:pPr>
              <w:pStyle w:val="TableContents"/>
              <w:bidi w:val="0"/>
              <w:spacing w:before="0" w:after="283"/>
              <w:jc w:val="right"/>
              <w:rPr>
                <w:sz w:val="20"/>
              </w:rPr>
            </w:pPr>
            <w:r>
              <w:rPr>
                <w:sz w:val="20"/>
              </w:rPr>
              <w:t>5</w:t>
            </w:r>
          </w:p>
        </w:tc>
      </w:tr>
      <w:tr>
        <w:trPr/>
        <w:tc>
          <w:tcPr>
            <w:tcW w:w="1290" w:type="dxa"/>
            <w:tcBorders/>
            <w:vAlign w:val="center"/>
          </w:tcPr>
          <w:p>
            <w:pPr>
              <w:pStyle w:val="TableContents"/>
              <w:bidi w:val="0"/>
              <w:spacing w:before="0" w:after="283"/>
              <w:jc w:val="left"/>
              <w:rPr>
                <w:b/>
                <w:sz w:val="20"/>
              </w:rPr>
            </w:pPr>
            <w:r>
              <w:rPr>
                <w:b/>
                <w:sz w:val="20"/>
              </w:rPr>
              <w:t>Section 2.02</w:t>
            </w:r>
          </w:p>
        </w:tc>
        <w:tc>
          <w:tcPr>
            <w:tcW w:w="5674" w:type="dxa"/>
            <w:tcBorders/>
            <w:vAlign w:val="center"/>
          </w:tcPr>
          <w:p>
            <w:pPr>
              <w:pStyle w:val="TableContents"/>
              <w:bidi w:val="0"/>
              <w:spacing w:before="0" w:after="283"/>
              <w:jc w:val="left"/>
              <w:rPr>
                <w:b/>
                <w:sz w:val="20"/>
              </w:rPr>
            </w:pPr>
            <w:r>
              <w:rPr>
                <w:b/>
                <w:sz w:val="20"/>
              </w:rPr>
              <w:t>Closing Deliverables</w:t>
            </w:r>
          </w:p>
        </w:tc>
        <w:tc>
          <w:tcPr>
            <w:tcW w:w="245" w:type="dxa"/>
            <w:tcBorders/>
            <w:vAlign w:val="center"/>
          </w:tcPr>
          <w:p>
            <w:pPr>
              <w:pStyle w:val="TableContents"/>
              <w:bidi w:val="0"/>
              <w:spacing w:before="0" w:after="283"/>
              <w:jc w:val="right"/>
              <w:rPr>
                <w:sz w:val="20"/>
              </w:rPr>
            </w:pPr>
            <w:r>
              <w:rPr>
                <w:sz w:val="20"/>
              </w:rPr>
              <w:t>5</w:t>
            </w:r>
          </w:p>
        </w:tc>
      </w:tr>
      <w:tr>
        <w:trPr/>
        <w:tc>
          <w:tcPr>
            <w:tcW w:w="6964" w:type="dxa"/>
            <w:gridSpan w:val="2"/>
            <w:tcBorders/>
            <w:vAlign w:val="center"/>
          </w:tcPr>
          <w:p>
            <w:pPr>
              <w:pStyle w:val="TableContents"/>
              <w:bidi w:val="0"/>
              <w:spacing w:before="0" w:after="283"/>
              <w:jc w:val="left"/>
              <w:rPr>
                <w:sz w:val="20"/>
              </w:rPr>
            </w:pPr>
            <w:r>
              <w:rPr>
                <w:sz w:val="20"/>
              </w:rPr>
              <w:t xml:space="preserve">ARTICLE III REPRESENTATIONS AND WARRANTIES OF </w:t>
            </w:r>
            <w:r>
              <w:rPr>
                <w:caps/>
                <w:sz w:val="20"/>
              </w:rPr>
              <w:t>The</w:t>
            </w:r>
            <w:r>
              <w:rPr>
                <w:sz w:val="20"/>
              </w:rPr>
              <w:t xml:space="preserve"> SELLER PARTIES</w:t>
            </w:r>
          </w:p>
        </w:tc>
        <w:tc>
          <w:tcPr>
            <w:tcW w:w="245" w:type="dxa"/>
            <w:tcBorders/>
            <w:vAlign w:val="center"/>
          </w:tcPr>
          <w:p>
            <w:pPr>
              <w:pStyle w:val="TableContents"/>
              <w:bidi w:val="0"/>
              <w:spacing w:before="0" w:after="283"/>
              <w:jc w:val="right"/>
              <w:rPr>
                <w:sz w:val="20"/>
              </w:rPr>
            </w:pPr>
            <w:r>
              <w:rPr>
                <w:sz w:val="20"/>
              </w:rPr>
              <w:t>7</w:t>
            </w:r>
          </w:p>
        </w:tc>
      </w:tr>
      <w:tr>
        <w:trPr/>
        <w:tc>
          <w:tcPr>
            <w:tcW w:w="1290" w:type="dxa"/>
            <w:tcBorders/>
            <w:vAlign w:val="center"/>
          </w:tcPr>
          <w:p>
            <w:pPr>
              <w:pStyle w:val="TableContents"/>
              <w:bidi w:val="0"/>
              <w:spacing w:before="0" w:after="283"/>
              <w:jc w:val="left"/>
              <w:rPr>
                <w:b/>
                <w:sz w:val="20"/>
              </w:rPr>
            </w:pPr>
            <w:r>
              <w:rPr>
                <w:b/>
                <w:sz w:val="20"/>
              </w:rPr>
              <w:t>Section 3.01</w:t>
            </w:r>
          </w:p>
        </w:tc>
        <w:tc>
          <w:tcPr>
            <w:tcW w:w="5674" w:type="dxa"/>
            <w:tcBorders/>
            <w:vAlign w:val="center"/>
          </w:tcPr>
          <w:p>
            <w:pPr>
              <w:pStyle w:val="TableContents"/>
              <w:bidi w:val="0"/>
              <w:spacing w:before="0" w:after="283"/>
              <w:jc w:val="left"/>
              <w:rPr>
                <w:b/>
                <w:sz w:val="20"/>
              </w:rPr>
            </w:pPr>
            <w:r>
              <w:rPr>
                <w:b/>
                <w:sz w:val="20"/>
              </w:rPr>
              <w:t>Organization and Authority of Seller</w:t>
            </w:r>
          </w:p>
        </w:tc>
        <w:tc>
          <w:tcPr>
            <w:tcW w:w="245" w:type="dxa"/>
            <w:tcBorders/>
            <w:vAlign w:val="center"/>
          </w:tcPr>
          <w:p>
            <w:pPr>
              <w:pStyle w:val="TableContents"/>
              <w:bidi w:val="0"/>
              <w:spacing w:before="0" w:after="283"/>
              <w:jc w:val="right"/>
              <w:rPr>
                <w:sz w:val="20"/>
              </w:rPr>
            </w:pPr>
            <w:r>
              <w:rPr>
                <w:sz w:val="20"/>
              </w:rPr>
              <w:t>7</w:t>
            </w:r>
          </w:p>
        </w:tc>
      </w:tr>
      <w:tr>
        <w:trPr/>
        <w:tc>
          <w:tcPr>
            <w:tcW w:w="1290" w:type="dxa"/>
            <w:tcBorders/>
            <w:vAlign w:val="center"/>
          </w:tcPr>
          <w:p>
            <w:pPr>
              <w:pStyle w:val="TableContents"/>
              <w:bidi w:val="0"/>
              <w:spacing w:before="0" w:after="283"/>
              <w:jc w:val="left"/>
              <w:rPr>
                <w:b/>
                <w:sz w:val="20"/>
              </w:rPr>
            </w:pPr>
            <w:r>
              <w:rPr>
                <w:b/>
                <w:sz w:val="20"/>
              </w:rPr>
              <w:t>Section 3.02</w:t>
            </w:r>
          </w:p>
        </w:tc>
        <w:tc>
          <w:tcPr>
            <w:tcW w:w="5674" w:type="dxa"/>
            <w:tcBorders/>
            <w:vAlign w:val="center"/>
          </w:tcPr>
          <w:p>
            <w:pPr>
              <w:pStyle w:val="TableContents"/>
              <w:bidi w:val="0"/>
              <w:spacing w:before="0" w:after="283"/>
              <w:jc w:val="left"/>
              <w:rPr>
                <w:b/>
                <w:sz w:val="20"/>
              </w:rPr>
            </w:pPr>
            <w:r>
              <w:rPr>
                <w:b/>
                <w:sz w:val="20"/>
              </w:rPr>
              <w:t>No Conflicts or Consents</w:t>
            </w:r>
          </w:p>
        </w:tc>
        <w:tc>
          <w:tcPr>
            <w:tcW w:w="245" w:type="dxa"/>
            <w:tcBorders/>
            <w:vAlign w:val="center"/>
          </w:tcPr>
          <w:p>
            <w:pPr>
              <w:pStyle w:val="TableContents"/>
              <w:bidi w:val="0"/>
              <w:spacing w:before="0" w:after="283"/>
              <w:jc w:val="right"/>
              <w:rPr>
                <w:sz w:val="20"/>
              </w:rPr>
            </w:pPr>
            <w:r>
              <w:rPr>
                <w:sz w:val="20"/>
              </w:rPr>
              <w:t>7</w:t>
            </w:r>
          </w:p>
        </w:tc>
      </w:tr>
      <w:tr>
        <w:trPr/>
        <w:tc>
          <w:tcPr>
            <w:tcW w:w="1290" w:type="dxa"/>
            <w:tcBorders/>
            <w:vAlign w:val="center"/>
          </w:tcPr>
          <w:p>
            <w:pPr>
              <w:pStyle w:val="TableContents"/>
              <w:bidi w:val="0"/>
              <w:spacing w:before="0" w:after="283"/>
              <w:jc w:val="left"/>
              <w:rPr>
                <w:b/>
                <w:sz w:val="20"/>
              </w:rPr>
            </w:pPr>
            <w:r>
              <w:rPr>
                <w:b/>
                <w:sz w:val="20"/>
              </w:rPr>
              <w:t>Section 3.03</w:t>
            </w:r>
          </w:p>
        </w:tc>
        <w:tc>
          <w:tcPr>
            <w:tcW w:w="5674" w:type="dxa"/>
            <w:tcBorders/>
            <w:vAlign w:val="center"/>
          </w:tcPr>
          <w:p>
            <w:pPr>
              <w:pStyle w:val="TableContents"/>
              <w:bidi w:val="0"/>
              <w:spacing w:before="0" w:after="283"/>
              <w:jc w:val="left"/>
              <w:rPr>
                <w:b/>
                <w:sz w:val="20"/>
              </w:rPr>
            </w:pPr>
            <w:r>
              <w:rPr>
                <w:b/>
                <w:sz w:val="20"/>
              </w:rPr>
              <w:t>Purchased Contracts</w:t>
            </w:r>
          </w:p>
        </w:tc>
        <w:tc>
          <w:tcPr>
            <w:tcW w:w="245" w:type="dxa"/>
            <w:tcBorders/>
            <w:vAlign w:val="center"/>
          </w:tcPr>
          <w:p>
            <w:pPr>
              <w:pStyle w:val="TableContents"/>
              <w:bidi w:val="0"/>
              <w:spacing w:before="0" w:after="283"/>
              <w:jc w:val="right"/>
              <w:rPr>
                <w:sz w:val="20"/>
              </w:rPr>
            </w:pPr>
            <w:r>
              <w:rPr>
                <w:sz w:val="20"/>
              </w:rPr>
              <w:t>8</w:t>
            </w:r>
          </w:p>
        </w:tc>
      </w:tr>
      <w:tr>
        <w:trPr/>
        <w:tc>
          <w:tcPr>
            <w:tcW w:w="1290" w:type="dxa"/>
            <w:tcBorders/>
            <w:vAlign w:val="center"/>
          </w:tcPr>
          <w:p>
            <w:pPr>
              <w:pStyle w:val="TableContents"/>
              <w:bidi w:val="0"/>
              <w:spacing w:before="0" w:after="283"/>
              <w:jc w:val="left"/>
              <w:rPr>
                <w:b/>
                <w:sz w:val="20"/>
              </w:rPr>
            </w:pPr>
            <w:r>
              <w:rPr>
                <w:b/>
                <w:sz w:val="20"/>
              </w:rPr>
              <w:t>Section 3.04</w:t>
            </w:r>
          </w:p>
        </w:tc>
        <w:tc>
          <w:tcPr>
            <w:tcW w:w="5674" w:type="dxa"/>
            <w:tcBorders/>
            <w:vAlign w:val="center"/>
          </w:tcPr>
          <w:p>
            <w:pPr>
              <w:pStyle w:val="TableContents"/>
              <w:bidi w:val="0"/>
              <w:spacing w:before="0" w:after="283"/>
              <w:jc w:val="left"/>
              <w:rPr>
                <w:b/>
                <w:sz w:val="20"/>
              </w:rPr>
            </w:pPr>
            <w:r>
              <w:rPr>
                <w:b/>
                <w:sz w:val="20"/>
              </w:rPr>
              <w:t>Title to Purchased Assets</w:t>
            </w:r>
          </w:p>
        </w:tc>
        <w:tc>
          <w:tcPr>
            <w:tcW w:w="245" w:type="dxa"/>
            <w:tcBorders/>
            <w:vAlign w:val="center"/>
          </w:tcPr>
          <w:p>
            <w:pPr>
              <w:pStyle w:val="TableContents"/>
              <w:bidi w:val="0"/>
              <w:spacing w:before="0" w:after="283"/>
              <w:jc w:val="right"/>
              <w:rPr>
                <w:sz w:val="20"/>
              </w:rPr>
            </w:pPr>
            <w:r>
              <w:rPr>
                <w:sz w:val="20"/>
              </w:rPr>
              <w:t>8</w:t>
            </w:r>
          </w:p>
        </w:tc>
      </w:tr>
      <w:tr>
        <w:trPr/>
        <w:tc>
          <w:tcPr>
            <w:tcW w:w="1290" w:type="dxa"/>
            <w:tcBorders/>
            <w:vAlign w:val="center"/>
          </w:tcPr>
          <w:p>
            <w:pPr>
              <w:pStyle w:val="TableContents"/>
              <w:bidi w:val="0"/>
              <w:spacing w:before="0" w:after="283"/>
              <w:jc w:val="left"/>
              <w:rPr>
                <w:b/>
                <w:sz w:val="20"/>
              </w:rPr>
            </w:pPr>
            <w:r>
              <w:rPr>
                <w:b/>
                <w:sz w:val="20"/>
              </w:rPr>
              <w:t>Section 3.05</w:t>
            </w:r>
          </w:p>
        </w:tc>
        <w:tc>
          <w:tcPr>
            <w:tcW w:w="5674" w:type="dxa"/>
            <w:tcBorders/>
            <w:vAlign w:val="center"/>
          </w:tcPr>
          <w:p>
            <w:pPr>
              <w:pStyle w:val="TableContents"/>
              <w:bidi w:val="0"/>
              <w:spacing w:before="0" w:after="283"/>
              <w:jc w:val="left"/>
              <w:rPr>
                <w:b/>
                <w:sz w:val="20"/>
              </w:rPr>
            </w:pPr>
            <w:r>
              <w:rPr>
                <w:b/>
                <w:sz w:val="20"/>
              </w:rPr>
              <w:t>Condition and Sufficiency of Assets</w:t>
            </w:r>
          </w:p>
        </w:tc>
        <w:tc>
          <w:tcPr>
            <w:tcW w:w="245" w:type="dxa"/>
            <w:tcBorders/>
            <w:vAlign w:val="center"/>
          </w:tcPr>
          <w:p>
            <w:pPr>
              <w:pStyle w:val="TableContents"/>
              <w:bidi w:val="0"/>
              <w:spacing w:before="0" w:after="283"/>
              <w:jc w:val="right"/>
              <w:rPr>
                <w:sz w:val="20"/>
              </w:rPr>
            </w:pPr>
            <w:r>
              <w:rPr>
                <w:sz w:val="20"/>
              </w:rPr>
              <w:t>8</w:t>
            </w:r>
          </w:p>
        </w:tc>
      </w:tr>
      <w:tr>
        <w:trPr/>
        <w:tc>
          <w:tcPr>
            <w:tcW w:w="1290" w:type="dxa"/>
            <w:tcBorders/>
            <w:vAlign w:val="center"/>
          </w:tcPr>
          <w:p>
            <w:pPr>
              <w:pStyle w:val="TableContents"/>
              <w:bidi w:val="0"/>
              <w:spacing w:before="0" w:after="283"/>
              <w:jc w:val="left"/>
              <w:rPr>
                <w:b/>
                <w:sz w:val="20"/>
              </w:rPr>
            </w:pPr>
            <w:r>
              <w:rPr>
                <w:b/>
                <w:sz w:val="20"/>
              </w:rPr>
              <w:t>Section 3.06</w:t>
            </w:r>
          </w:p>
        </w:tc>
        <w:tc>
          <w:tcPr>
            <w:tcW w:w="5674" w:type="dxa"/>
            <w:tcBorders/>
            <w:vAlign w:val="center"/>
          </w:tcPr>
          <w:p>
            <w:pPr>
              <w:pStyle w:val="TableContents"/>
              <w:bidi w:val="0"/>
              <w:spacing w:before="0" w:after="283"/>
              <w:jc w:val="left"/>
              <w:rPr>
                <w:b/>
                <w:sz w:val="20"/>
              </w:rPr>
            </w:pPr>
            <w:r>
              <w:rPr>
                <w:b/>
                <w:sz w:val="20"/>
              </w:rPr>
              <w:t>Legal Proceedings; Governmental Orders</w:t>
            </w:r>
          </w:p>
        </w:tc>
        <w:tc>
          <w:tcPr>
            <w:tcW w:w="245" w:type="dxa"/>
            <w:tcBorders/>
            <w:vAlign w:val="center"/>
          </w:tcPr>
          <w:p>
            <w:pPr>
              <w:pStyle w:val="TableContents"/>
              <w:bidi w:val="0"/>
              <w:spacing w:before="0" w:after="283"/>
              <w:jc w:val="right"/>
              <w:rPr/>
            </w:pPr>
            <w:r>
              <w:rPr/>
              <w:t>9</w:t>
            </w:r>
          </w:p>
        </w:tc>
      </w:tr>
      <w:tr>
        <w:trPr/>
        <w:tc>
          <w:tcPr>
            <w:tcW w:w="1290" w:type="dxa"/>
            <w:tcBorders/>
            <w:vAlign w:val="center"/>
          </w:tcPr>
          <w:p>
            <w:pPr>
              <w:pStyle w:val="TableContents"/>
              <w:bidi w:val="0"/>
              <w:spacing w:before="0" w:after="283"/>
              <w:jc w:val="left"/>
              <w:rPr>
                <w:b/>
                <w:sz w:val="20"/>
              </w:rPr>
            </w:pPr>
            <w:r>
              <w:rPr>
                <w:b/>
                <w:sz w:val="20"/>
              </w:rPr>
              <w:t>Section 3.07</w:t>
            </w:r>
          </w:p>
        </w:tc>
        <w:tc>
          <w:tcPr>
            <w:tcW w:w="5674" w:type="dxa"/>
            <w:tcBorders/>
            <w:vAlign w:val="center"/>
          </w:tcPr>
          <w:p>
            <w:pPr>
              <w:pStyle w:val="TableContents"/>
              <w:bidi w:val="0"/>
              <w:spacing w:before="0" w:after="283"/>
              <w:jc w:val="left"/>
              <w:rPr>
                <w:b/>
                <w:sz w:val="20"/>
              </w:rPr>
            </w:pPr>
            <w:r>
              <w:rPr>
                <w:b/>
                <w:sz w:val="20"/>
              </w:rPr>
              <w:t>Compliance with Laws</w:t>
            </w:r>
          </w:p>
        </w:tc>
        <w:tc>
          <w:tcPr>
            <w:tcW w:w="245" w:type="dxa"/>
            <w:tcBorders/>
            <w:vAlign w:val="center"/>
          </w:tcPr>
          <w:p>
            <w:pPr>
              <w:pStyle w:val="TableContents"/>
              <w:bidi w:val="0"/>
              <w:spacing w:before="0" w:after="283"/>
              <w:jc w:val="right"/>
              <w:rPr>
                <w:sz w:val="20"/>
              </w:rPr>
            </w:pPr>
            <w:r>
              <w:rPr>
                <w:sz w:val="20"/>
              </w:rPr>
              <w:t>9</w:t>
            </w:r>
          </w:p>
        </w:tc>
      </w:tr>
      <w:tr>
        <w:trPr/>
        <w:tc>
          <w:tcPr>
            <w:tcW w:w="1290" w:type="dxa"/>
            <w:tcBorders/>
            <w:vAlign w:val="center"/>
          </w:tcPr>
          <w:p>
            <w:pPr>
              <w:pStyle w:val="TableContents"/>
              <w:bidi w:val="0"/>
              <w:spacing w:before="0" w:after="283"/>
              <w:jc w:val="left"/>
              <w:rPr>
                <w:b/>
                <w:sz w:val="20"/>
              </w:rPr>
            </w:pPr>
            <w:r>
              <w:rPr>
                <w:b/>
                <w:sz w:val="20"/>
              </w:rPr>
              <w:t>Section 3.08</w:t>
            </w:r>
          </w:p>
        </w:tc>
        <w:tc>
          <w:tcPr>
            <w:tcW w:w="5674" w:type="dxa"/>
            <w:tcBorders/>
            <w:vAlign w:val="center"/>
          </w:tcPr>
          <w:p>
            <w:pPr>
              <w:pStyle w:val="TableContents"/>
              <w:bidi w:val="0"/>
              <w:spacing w:before="0" w:after="283"/>
              <w:jc w:val="left"/>
              <w:rPr>
                <w:b/>
                <w:sz w:val="20"/>
              </w:rPr>
            </w:pPr>
            <w:r>
              <w:rPr>
                <w:b/>
                <w:sz w:val="20"/>
              </w:rPr>
              <w:t>Taxes</w:t>
            </w:r>
          </w:p>
        </w:tc>
        <w:tc>
          <w:tcPr>
            <w:tcW w:w="245" w:type="dxa"/>
            <w:tcBorders/>
            <w:vAlign w:val="center"/>
          </w:tcPr>
          <w:p>
            <w:pPr>
              <w:pStyle w:val="TableContents"/>
              <w:bidi w:val="0"/>
              <w:spacing w:before="0" w:after="283"/>
              <w:jc w:val="right"/>
              <w:rPr>
                <w:sz w:val="20"/>
              </w:rPr>
            </w:pPr>
            <w:r>
              <w:rPr>
                <w:sz w:val="20"/>
              </w:rPr>
              <w:t>9</w:t>
            </w:r>
          </w:p>
        </w:tc>
      </w:tr>
      <w:tr>
        <w:trPr/>
        <w:tc>
          <w:tcPr>
            <w:tcW w:w="1290" w:type="dxa"/>
            <w:tcBorders/>
            <w:vAlign w:val="center"/>
          </w:tcPr>
          <w:p>
            <w:pPr>
              <w:pStyle w:val="TableContents"/>
              <w:bidi w:val="0"/>
              <w:spacing w:before="0" w:after="283"/>
              <w:jc w:val="left"/>
              <w:rPr>
                <w:b/>
                <w:sz w:val="20"/>
              </w:rPr>
            </w:pPr>
            <w:r>
              <w:rPr>
                <w:b/>
                <w:sz w:val="20"/>
              </w:rPr>
              <w:t>Section 3.09</w:t>
            </w:r>
          </w:p>
        </w:tc>
        <w:tc>
          <w:tcPr>
            <w:tcW w:w="5674" w:type="dxa"/>
            <w:tcBorders/>
            <w:vAlign w:val="center"/>
          </w:tcPr>
          <w:p>
            <w:pPr>
              <w:pStyle w:val="TableContents"/>
              <w:bidi w:val="0"/>
              <w:spacing w:before="0" w:after="283"/>
              <w:jc w:val="left"/>
              <w:rPr>
                <w:b/>
                <w:sz w:val="20"/>
              </w:rPr>
            </w:pPr>
            <w:r>
              <w:rPr>
                <w:b/>
                <w:sz w:val="20"/>
              </w:rPr>
              <w:t>Brokers</w:t>
            </w:r>
          </w:p>
        </w:tc>
        <w:tc>
          <w:tcPr>
            <w:tcW w:w="245" w:type="dxa"/>
            <w:tcBorders/>
            <w:vAlign w:val="center"/>
          </w:tcPr>
          <w:p>
            <w:pPr>
              <w:pStyle w:val="TableContents"/>
              <w:bidi w:val="0"/>
              <w:spacing w:before="0" w:after="283"/>
              <w:jc w:val="right"/>
              <w:rPr>
                <w:sz w:val="20"/>
              </w:rPr>
            </w:pPr>
            <w:r>
              <w:rPr>
                <w:sz w:val="20"/>
              </w:rPr>
              <w:t>9</w:t>
            </w:r>
          </w:p>
        </w:tc>
      </w:tr>
      <w:tr>
        <w:trPr/>
        <w:tc>
          <w:tcPr>
            <w:tcW w:w="1290" w:type="dxa"/>
            <w:tcBorders/>
            <w:vAlign w:val="center"/>
          </w:tcPr>
          <w:p>
            <w:pPr>
              <w:pStyle w:val="TableContents"/>
              <w:bidi w:val="0"/>
              <w:spacing w:before="0" w:after="283"/>
              <w:jc w:val="left"/>
              <w:rPr>
                <w:b/>
                <w:sz w:val="20"/>
              </w:rPr>
            </w:pPr>
            <w:r>
              <w:rPr>
                <w:b/>
                <w:sz w:val="20"/>
              </w:rPr>
              <w:t>Section 3.10</w:t>
            </w:r>
          </w:p>
        </w:tc>
        <w:tc>
          <w:tcPr>
            <w:tcW w:w="5674" w:type="dxa"/>
            <w:tcBorders/>
            <w:vAlign w:val="center"/>
          </w:tcPr>
          <w:p>
            <w:pPr>
              <w:pStyle w:val="TableContents"/>
              <w:bidi w:val="0"/>
              <w:spacing w:before="0" w:after="283"/>
              <w:jc w:val="left"/>
              <w:rPr>
                <w:sz w:val="20"/>
              </w:rPr>
            </w:pPr>
            <w:r>
              <w:rPr>
                <w:b/>
                <w:sz w:val="20"/>
              </w:rPr>
              <w:t>Investment Representations of WTI</w:t>
            </w:r>
            <w:r>
              <w:rPr>
                <w:sz w:val="20"/>
              </w:rPr>
              <w:t>.</w:t>
            </w:r>
          </w:p>
        </w:tc>
        <w:tc>
          <w:tcPr>
            <w:tcW w:w="245" w:type="dxa"/>
            <w:tcBorders/>
            <w:vAlign w:val="center"/>
          </w:tcPr>
          <w:p>
            <w:pPr>
              <w:pStyle w:val="TableContents"/>
              <w:bidi w:val="0"/>
              <w:spacing w:before="0" w:after="283"/>
              <w:jc w:val="right"/>
              <w:rPr>
                <w:sz w:val="20"/>
              </w:rPr>
            </w:pPr>
            <w:r>
              <w:rPr>
                <w:sz w:val="20"/>
              </w:rPr>
              <w:t>9</w:t>
            </w:r>
          </w:p>
        </w:tc>
      </w:tr>
      <w:tr>
        <w:trPr/>
        <w:tc>
          <w:tcPr>
            <w:tcW w:w="1290" w:type="dxa"/>
            <w:tcBorders/>
            <w:vAlign w:val="center"/>
          </w:tcPr>
          <w:p>
            <w:pPr>
              <w:pStyle w:val="TableContents"/>
              <w:bidi w:val="0"/>
              <w:spacing w:before="0" w:after="283"/>
              <w:jc w:val="left"/>
              <w:rPr>
                <w:b/>
                <w:sz w:val="20"/>
              </w:rPr>
            </w:pPr>
            <w:r>
              <w:rPr>
                <w:b/>
                <w:sz w:val="20"/>
              </w:rPr>
              <w:t>Section 3.11</w:t>
            </w:r>
          </w:p>
        </w:tc>
        <w:tc>
          <w:tcPr>
            <w:tcW w:w="5674" w:type="dxa"/>
            <w:tcBorders/>
            <w:vAlign w:val="center"/>
          </w:tcPr>
          <w:p>
            <w:pPr>
              <w:pStyle w:val="TableContents"/>
              <w:bidi w:val="0"/>
              <w:spacing w:before="0" w:after="283"/>
              <w:jc w:val="left"/>
              <w:rPr>
                <w:b/>
                <w:sz w:val="20"/>
              </w:rPr>
            </w:pPr>
            <w:r>
              <w:rPr>
                <w:b/>
                <w:sz w:val="20"/>
              </w:rPr>
              <w:t>No Other Representations and Warranties</w:t>
            </w:r>
          </w:p>
        </w:tc>
        <w:tc>
          <w:tcPr>
            <w:tcW w:w="245" w:type="dxa"/>
            <w:tcBorders/>
            <w:vAlign w:val="center"/>
          </w:tcPr>
          <w:p>
            <w:pPr>
              <w:pStyle w:val="TableContents"/>
              <w:bidi w:val="0"/>
              <w:spacing w:before="0" w:after="283"/>
              <w:jc w:val="right"/>
              <w:rPr>
                <w:sz w:val="20"/>
              </w:rPr>
            </w:pPr>
            <w:r>
              <w:rPr>
                <w:sz w:val="20"/>
              </w:rPr>
              <w:t>11</w:t>
            </w:r>
          </w:p>
        </w:tc>
      </w:tr>
      <w:tr>
        <w:trPr/>
        <w:tc>
          <w:tcPr>
            <w:tcW w:w="6964" w:type="dxa"/>
            <w:gridSpan w:val="2"/>
            <w:tcBorders/>
            <w:vAlign w:val="center"/>
          </w:tcPr>
          <w:p>
            <w:pPr>
              <w:pStyle w:val="TableContents"/>
              <w:bidi w:val="0"/>
              <w:spacing w:before="0" w:after="283"/>
              <w:jc w:val="left"/>
              <w:rPr>
                <w:caps/>
                <w:sz w:val="20"/>
              </w:rPr>
            </w:pPr>
            <w:r>
              <w:rPr>
                <w:caps/>
                <w:sz w:val="20"/>
              </w:rPr>
              <w:t>ARTICLE IV REPRESENTATIONS AND WARRANTIES OF The BUYER Parties</w:t>
            </w:r>
          </w:p>
        </w:tc>
        <w:tc>
          <w:tcPr>
            <w:tcW w:w="245" w:type="dxa"/>
            <w:tcBorders/>
            <w:vAlign w:val="center"/>
          </w:tcPr>
          <w:p>
            <w:pPr>
              <w:pStyle w:val="TableContents"/>
              <w:bidi w:val="0"/>
              <w:spacing w:before="0" w:after="283"/>
              <w:jc w:val="right"/>
              <w:rPr>
                <w:sz w:val="20"/>
              </w:rPr>
            </w:pPr>
            <w:r>
              <w:rPr>
                <w:sz w:val="20"/>
              </w:rPr>
              <w:t>11</w:t>
            </w:r>
          </w:p>
        </w:tc>
      </w:tr>
      <w:tr>
        <w:trPr/>
        <w:tc>
          <w:tcPr>
            <w:tcW w:w="1290" w:type="dxa"/>
            <w:tcBorders/>
            <w:vAlign w:val="center"/>
          </w:tcPr>
          <w:p>
            <w:pPr>
              <w:pStyle w:val="TableContents"/>
              <w:bidi w:val="0"/>
              <w:spacing w:before="0" w:after="283"/>
              <w:jc w:val="left"/>
              <w:rPr>
                <w:b/>
                <w:sz w:val="20"/>
              </w:rPr>
            </w:pPr>
            <w:r>
              <w:rPr>
                <w:b/>
                <w:sz w:val="20"/>
              </w:rPr>
              <w:t>Section 4.01</w:t>
            </w:r>
          </w:p>
        </w:tc>
        <w:tc>
          <w:tcPr>
            <w:tcW w:w="5674" w:type="dxa"/>
            <w:tcBorders/>
            <w:vAlign w:val="center"/>
          </w:tcPr>
          <w:p>
            <w:pPr>
              <w:pStyle w:val="TableContents"/>
              <w:bidi w:val="0"/>
              <w:spacing w:before="0" w:after="283"/>
              <w:jc w:val="left"/>
              <w:rPr>
                <w:b/>
                <w:sz w:val="20"/>
              </w:rPr>
            </w:pPr>
            <w:r>
              <w:rPr>
                <w:b/>
                <w:sz w:val="20"/>
              </w:rPr>
              <w:t>Organization and Authority of Buyer</w:t>
            </w:r>
          </w:p>
        </w:tc>
        <w:tc>
          <w:tcPr>
            <w:tcW w:w="245" w:type="dxa"/>
            <w:tcBorders/>
            <w:vAlign w:val="center"/>
          </w:tcPr>
          <w:p>
            <w:pPr>
              <w:pStyle w:val="TableContents"/>
              <w:bidi w:val="0"/>
              <w:spacing w:before="0" w:after="283"/>
              <w:jc w:val="right"/>
              <w:rPr>
                <w:sz w:val="20"/>
              </w:rPr>
            </w:pPr>
            <w:r>
              <w:rPr>
                <w:sz w:val="20"/>
              </w:rPr>
              <w:t>11</w:t>
            </w:r>
          </w:p>
        </w:tc>
      </w:tr>
      <w:tr>
        <w:trPr/>
        <w:tc>
          <w:tcPr>
            <w:tcW w:w="1290" w:type="dxa"/>
            <w:tcBorders/>
            <w:vAlign w:val="center"/>
          </w:tcPr>
          <w:p>
            <w:pPr>
              <w:pStyle w:val="TableContents"/>
              <w:bidi w:val="0"/>
              <w:spacing w:before="0" w:after="283"/>
              <w:jc w:val="left"/>
              <w:rPr>
                <w:b/>
                <w:sz w:val="20"/>
              </w:rPr>
            </w:pPr>
            <w:r>
              <w:rPr>
                <w:b/>
                <w:sz w:val="20"/>
              </w:rPr>
              <w:t>Section 4.02</w:t>
            </w:r>
          </w:p>
        </w:tc>
        <w:tc>
          <w:tcPr>
            <w:tcW w:w="5674" w:type="dxa"/>
            <w:tcBorders/>
            <w:vAlign w:val="center"/>
          </w:tcPr>
          <w:p>
            <w:pPr>
              <w:pStyle w:val="TableContents"/>
              <w:bidi w:val="0"/>
              <w:spacing w:before="0" w:after="283"/>
              <w:jc w:val="left"/>
              <w:rPr>
                <w:b/>
                <w:sz w:val="20"/>
              </w:rPr>
            </w:pPr>
            <w:r>
              <w:rPr>
                <w:b/>
                <w:sz w:val="20"/>
              </w:rPr>
              <w:t>No Conflicts; Consents</w:t>
            </w:r>
          </w:p>
        </w:tc>
        <w:tc>
          <w:tcPr>
            <w:tcW w:w="245" w:type="dxa"/>
            <w:tcBorders/>
            <w:vAlign w:val="center"/>
          </w:tcPr>
          <w:p>
            <w:pPr>
              <w:pStyle w:val="TableContents"/>
              <w:bidi w:val="0"/>
              <w:spacing w:before="0" w:after="283"/>
              <w:jc w:val="right"/>
              <w:rPr>
                <w:sz w:val="20"/>
              </w:rPr>
            </w:pPr>
            <w:r>
              <w:rPr>
                <w:sz w:val="20"/>
              </w:rPr>
              <w:t>12</w:t>
            </w:r>
          </w:p>
        </w:tc>
      </w:tr>
      <w:tr>
        <w:trPr/>
        <w:tc>
          <w:tcPr>
            <w:tcW w:w="1290" w:type="dxa"/>
            <w:tcBorders/>
            <w:vAlign w:val="center"/>
          </w:tcPr>
          <w:p>
            <w:pPr>
              <w:pStyle w:val="TableContents"/>
              <w:bidi w:val="0"/>
              <w:spacing w:before="0" w:after="283"/>
              <w:jc w:val="left"/>
              <w:rPr>
                <w:b/>
                <w:sz w:val="20"/>
              </w:rPr>
            </w:pPr>
            <w:r>
              <w:rPr>
                <w:b/>
                <w:sz w:val="20"/>
              </w:rPr>
              <w:t>Section 4.03</w:t>
            </w:r>
          </w:p>
        </w:tc>
        <w:tc>
          <w:tcPr>
            <w:tcW w:w="5674" w:type="dxa"/>
            <w:tcBorders/>
            <w:vAlign w:val="center"/>
          </w:tcPr>
          <w:p>
            <w:pPr>
              <w:pStyle w:val="TableContents"/>
              <w:bidi w:val="0"/>
              <w:spacing w:before="0" w:after="283"/>
              <w:jc w:val="left"/>
              <w:rPr>
                <w:b/>
                <w:sz w:val="20"/>
              </w:rPr>
            </w:pPr>
            <w:r>
              <w:rPr>
                <w:b/>
                <w:sz w:val="20"/>
              </w:rPr>
              <w:t>Issuance of the Pre-Funded Warrant</w:t>
            </w:r>
          </w:p>
        </w:tc>
        <w:tc>
          <w:tcPr>
            <w:tcW w:w="245" w:type="dxa"/>
            <w:tcBorders/>
            <w:vAlign w:val="center"/>
          </w:tcPr>
          <w:p>
            <w:pPr>
              <w:pStyle w:val="TableContents"/>
              <w:bidi w:val="0"/>
              <w:spacing w:before="0" w:after="283"/>
              <w:jc w:val="right"/>
              <w:rPr>
                <w:sz w:val="20"/>
              </w:rPr>
            </w:pPr>
            <w:r>
              <w:rPr>
                <w:sz w:val="20"/>
              </w:rPr>
              <w:t>12</w:t>
            </w:r>
          </w:p>
        </w:tc>
      </w:tr>
      <w:tr>
        <w:trPr/>
        <w:tc>
          <w:tcPr>
            <w:tcW w:w="1290" w:type="dxa"/>
            <w:tcBorders/>
            <w:vAlign w:val="center"/>
          </w:tcPr>
          <w:p>
            <w:pPr>
              <w:pStyle w:val="TableContents"/>
              <w:bidi w:val="0"/>
              <w:spacing w:before="0" w:after="283"/>
              <w:jc w:val="left"/>
              <w:rPr>
                <w:b/>
                <w:sz w:val="20"/>
              </w:rPr>
            </w:pPr>
            <w:r>
              <w:rPr>
                <w:b/>
                <w:sz w:val="20"/>
              </w:rPr>
              <w:t>Section 4.04</w:t>
            </w:r>
          </w:p>
        </w:tc>
        <w:tc>
          <w:tcPr>
            <w:tcW w:w="5674" w:type="dxa"/>
            <w:tcBorders/>
            <w:vAlign w:val="center"/>
          </w:tcPr>
          <w:p>
            <w:pPr>
              <w:pStyle w:val="TableContents"/>
              <w:bidi w:val="0"/>
              <w:spacing w:before="0" w:after="283"/>
              <w:jc w:val="left"/>
              <w:rPr>
                <w:b/>
                <w:sz w:val="20"/>
              </w:rPr>
            </w:pPr>
            <w:r>
              <w:rPr>
                <w:b/>
                <w:sz w:val="20"/>
              </w:rPr>
              <w:t>SEC Reports; Financial Statements</w:t>
            </w:r>
          </w:p>
        </w:tc>
        <w:tc>
          <w:tcPr>
            <w:tcW w:w="245" w:type="dxa"/>
            <w:tcBorders/>
            <w:vAlign w:val="center"/>
          </w:tcPr>
          <w:p>
            <w:pPr>
              <w:pStyle w:val="TableContents"/>
              <w:bidi w:val="0"/>
              <w:spacing w:before="0" w:after="283"/>
              <w:jc w:val="right"/>
              <w:rPr>
                <w:sz w:val="20"/>
              </w:rPr>
            </w:pPr>
            <w:r>
              <w:rPr>
                <w:sz w:val="20"/>
              </w:rPr>
              <w:t>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0" w:type="dxa"/>
          <w:left w:w="0" w:type="dxa"/>
          <w:bottom w:w="0" w:type="dxa"/>
          <w:right w:w="0" w:type="dxa"/>
        </w:tblCellMar>
      </w:tblPr>
      <w:tblGrid>
        <w:gridCol w:w="1055"/>
        <w:gridCol w:w="7790"/>
        <w:gridCol w:w="245"/>
      </w:tblGrid>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4.05</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Capitalization of Parent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4.06</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Brokers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4.07</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Legal Proceedings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88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 COVENANTS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5.01</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5.02</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Announcements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5.03</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Bulk Sales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5.04</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Pro-Rata Allocation of First Monthly Payment After Closing Under the Purchased Contracts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5.05</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5.06</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5.07</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Wrong Pockets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5.08</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Access to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5.09</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5.10</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Parent Covenant Regarding Stockholder Proposals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5.11</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WTI Covenant to Vote for Stockholder Proposals; Voting Proxy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88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 INDEMNIFICATION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18</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6.01</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Survival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6.02</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Indemnification by the Seller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6.03</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Indemnification by Buyer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6.04</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Indemnification Procedures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6.05</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Limitations on 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6.06</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Recourse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6.07</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Exclusive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88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 MISCELLANEOUS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7.01</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7.02</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7.03</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Interpretation; 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7.04</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7.05</w:t>
            </w:r>
          </w:p>
        </w:tc>
        <w:tc>
          <w:tcPr>
            <w:tcW w:w="7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1055"/>
        <w:gridCol w:w="5600"/>
        <w:gridCol w:w="245"/>
      </w:tblGrid>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7.06</w:t>
            </w:r>
          </w:p>
        </w:tc>
        <w:tc>
          <w:tcPr>
            <w:tcW w:w="56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Successors and Assigns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7.07</w:t>
            </w:r>
          </w:p>
        </w:tc>
        <w:tc>
          <w:tcPr>
            <w:tcW w:w="56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 and Modification;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7.08</w:t>
            </w:r>
          </w:p>
        </w:tc>
        <w:tc>
          <w:tcPr>
            <w:tcW w:w="56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Governing Law; Submission to Jurisdiction; 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7.09</w:t>
            </w:r>
          </w:p>
        </w:tc>
        <w:tc>
          <w:tcPr>
            <w:tcW w:w="56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vAlign w:val="center"/>
          </w:tcPr>
          <w:p>
            <w:pPr>
              <w:pStyle w:val="TableContents"/>
              <w:bidi w:val="0"/>
              <w:spacing w:before="0" w:after="283"/>
              <w:jc w:val="left"/>
              <w:rPr>
                <w:b/>
                <w:sz w:val="20"/>
              </w:rPr>
            </w:pPr>
            <w:r>
              <w:rPr>
                <w:b/>
                <w:sz w:val="20"/>
              </w:rPr>
              <w:t>Section 7.10</w:t>
            </w:r>
          </w:p>
        </w:tc>
        <w:tc>
          <w:tcPr>
            <w:tcW w:w="5600" w:type="dxa"/>
            <w:tcBorders/>
            <w:vAlign w:val="center"/>
          </w:tcPr>
          <w:p>
            <w:pPr>
              <w:pStyle w:val="TableContents"/>
              <w:bidi w:val="0"/>
              <w:spacing w:before="0" w:after="283"/>
              <w:jc w:val="left"/>
              <w:rPr>
                <w:b/>
                <w:sz w:val="20"/>
              </w:rPr>
            </w:pPr>
            <w:r>
              <w:rPr>
                <w:b/>
                <w:sz w:val="20"/>
              </w:rPr>
              <w:t>No Reliance</w:t>
            </w:r>
          </w:p>
        </w:tc>
        <w:tc>
          <w:tcPr>
            <w:tcW w:w="245" w:type="dxa"/>
            <w:tcBorders/>
            <w:vAlign w:val="center"/>
          </w:tcPr>
          <w:p>
            <w:pPr>
              <w:pStyle w:val="TableContents"/>
              <w:bidi w:val="0"/>
              <w:spacing w:before="0" w:after="283"/>
              <w:jc w:val="right"/>
              <w:rPr>
                <w:sz w:val="20"/>
              </w:rPr>
            </w:pPr>
            <w:r>
              <w:rPr>
                <w:sz w:val="20"/>
              </w:rPr>
              <w:t>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ASSET PURCHASE AGREEMENT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dated as of August 17, 2026, is entered into by and among </w:t>
      </w:r>
      <w:r>
        <w:rPr>
          <w:rFonts w:ascii="Times New Roman;Times;Serif" w:hAnsi="Times New Roman;Times;Serif"/>
          <w:b/>
          <w:i w:val="false"/>
          <w:caps w:val="false"/>
          <w:smallCaps w:val="false"/>
          <w:sz w:val="20"/>
        </w:rPr>
        <w:t>MORIA MINING,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WINKLEVOSS TREASURY INVESTMENTS, LLC</w:t>
      </w:r>
      <w:r>
        <w:rPr>
          <w:rFonts w:ascii="Times New Roman;Times;Serif" w:hAnsi="Times New Roman;Times;Serif"/>
          <w:b w:val="false"/>
          <w:i w:val="false"/>
          <w:caps w:val="false"/>
          <w:smallCaps w:val="false"/>
          <w:sz w:val="20"/>
        </w:rPr>
        <w:t>, a Delaware limited liability company and an affiliate of Seller (“</w:t>
      </w:r>
      <w:r>
        <w:rPr>
          <w:rFonts w:ascii="Times New Roman;Times;Serif" w:hAnsi="Times New Roman;Times;Serif"/>
          <w:b/>
          <w:i w:val="false"/>
          <w:caps w:val="false"/>
          <w:smallCaps w:val="false"/>
          <w:sz w:val="20"/>
        </w:rPr>
        <w:t>WTI</w:t>
      </w:r>
      <w:r>
        <w:rPr>
          <w:rFonts w:ascii="Times New Roman;Times;Serif" w:hAnsi="Times New Roman;Times;Serif"/>
          <w:b w:val="false"/>
          <w:i w:val="false"/>
          <w:caps w:val="false"/>
          <w:smallCaps w:val="false"/>
          <w:sz w:val="20"/>
        </w:rPr>
        <w:t>” and together with Seller, “</w:t>
      </w:r>
      <w:r>
        <w:rPr>
          <w:rFonts w:ascii="Times New Roman;Times;Serif" w:hAnsi="Times New Roman;Times;Serif"/>
          <w:b/>
          <w:i w:val="false"/>
          <w:caps w:val="false"/>
          <w:smallCaps w:val="false"/>
          <w:sz w:val="20"/>
        </w:rPr>
        <w:t>Seller Parties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CYPHERPUNK MINING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CYPHERPUNK TECHNOLOGIES INC.</w:t>
      </w:r>
      <w:r>
        <w:rPr>
          <w:rFonts w:ascii="Times New Roman;Times;Serif" w:hAnsi="Times New Roman;Times;Serif"/>
          <w:b w:val="false"/>
          <w:i w:val="false"/>
          <w:caps w:val="false"/>
          <w:smallCaps w:val="false"/>
          <w:sz w:val="20"/>
        </w:rPr>
        <w:t>, a Delaware corporation and the sole member of Buyer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together with Buyer, “</w:t>
      </w:r>
      <w:r>
        <w:rPr>
          <w:rFonts w:ascii="Times New Roman;Times;Serif" w:hAnsi="Times New Roman;Times;Serif"/>
          <w:b/>
          <w:i w:val="false"/>
          <w:caps w:val="false"/>
          <w:smallCaps w:val="false"/>
          <w:sz w:val="20"/>
        </w:rPr>
        <w:t>Buyer Parties</w:t>
      </w:r>
      <w:r>
        <w:rPr>
          <w:rFonts w:ascii="Times New Roman;Times;Serif" w:hAnsi="Times New Roman;Times;Serif"/>
          <w:b w:val="false"/>
          <w:i w:val="false"/>
          <w:caps w:val="false"/>
          <w:smallCaps w:val="false"/>
          <w:sz w:val="20"/>
        </w:rPr>
        <w:t>”). Each of Seller, WTI, Buyer and Parent is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Parent is a public reporting company engaged, among other things, in the business of identifying, developing, investing in, and acquiring or building privacy-enhancing technologies, with a primary focus on the Zcash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Seller is engaged in, among other business activities, the business of owning and operating cryptocurrency mining equipment, including the Mining Equipment (as defined below), and holds the Hosting Agreements (as defined below) with respect to the facilities at which such equipment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Seller wishes to sell, convey, assign and transfer to Buyer, and Buyer wishes to purchase and acquire from Seller, the Purchased Assets (as defined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below), consisting solely of (a) the Mining Equipment, (b) the Purchased Contracts and (c) the other assets, properties and rights described or referred to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below, and no other assets, properties or rights of Seller, in each case for the consideration and on the terms set forth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transactions contemplated by this Agreement constitute a related party transaction for purposes of Parent’s related person transaction policy and, following full disclosure to the board of directors of Parent of the material facts as to the relationships among the Parties and the interests of the Seller Parties in the transactions contemplated by this Agreement, this Agreement and the transactions contemplated hereby have been reviewed and approved by the disinterested directors of Parent in accordance with such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hereinafter set forth and for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         Purchase and Sale of Assets. </w:t>
      </w:r>
      <w:r>
        <w:rPr>
          <w:rFonts w:ascii="Times New Roman;Times;Serif" w:hAnsi="Times New Roman;Times;Serif"/>
          <w:b w:val="false"/>
          <w:i w:val="false"/>
          <w:caps w:val="false"/>
          <w:smallCaps w:val="false"/>
          <w:sz w:val="20"/>
        </w:rPr>
        <w:t xml:space="preserve">Subject to the terms and conditions set forth herein, at the Closing (as defined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Seller shall sell, convey, assign, transfer and deliver to Buyer, and Buyer shall purchase from Seller, all of Seller’s right, title and interest in, to and under the following assets, properties and rights of Seller (the “</w:t>
      </w:r>
      <w:r>
        <w:rPr>
          <w:rFonts w:ascii="Times New Roman;Times;Serif" w:hAnsi="Times New Roman;Times;Serif"/>
          <w:b/>
          <w:i w:val="false"/>
          <w:caps w:val="false"/>
          <w:smallCaps w:val="false"/>
          <w:sz w:val="20"/>
        </w:rPr>
        <w:t>Purchased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4,902 Bitmain Antminer Z15 Pro Zcash mining computers, allocated among the Hosting Sites as set forth on </w:t>
      </w:r>
      <w:r>
        <w:rPr>
          <w:rFonts w:ascii="Times New Roman;Times;Serif" w:hAnsi="Times New Roman;Times;Serif"/>
          <w:b w:val="false"/>
          <w:i w:val="false"/>
          <w:caps w:val="false"/>
          <w:smallCaps w:val="false"/>
          <w:sz w:val="20"/>
          <w:u w:val="single"/>
        </w:rPr>
        <w:t>Schedule 1.01(a)</w:t>
      </w:r>
      <w:r>
        <w:rPr>
          <w:rFonts w:ascii="Times New Roman;Times;Serif" w:hAnsi="Times New Roman;Times;Serif"/>
          <w:b w:val="false"/>
          <w:i w:val="false"/>
          <w:caps w:val="false"/>
          <w:smallCaps w:val="false"/>
          <w:sz w:val="20"/>
        </w:rPr>
        <w:t> hereto, together with all racking, cabling and ancillary equipment used exclusively in connection therewith and located at the Hosting Sites (as defined below) (the “</w:t>
      </w:r>
      <w:r>
        <w:rPr>
          <w:rFonts w:ascii="Times New Roman;Times;Serif" w:hAnsi="Times New Roman;Times;Serif"/>
          <w:b/>
          <w:i w:val="false"/>
          <w:caps w:val="false"/>
          <w:smallCaps w:val="false"/>
          <w:sz w:val="20"/>
        </w:rPr>
        <w:t>Mining Equipment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Colocation Agreement, dated April 29, 2026, by and between Seller and Mintwest Colocation Texas LLC (the “</w:t>
      </w:r>
      <w:r>
        <w:rPr>
          <w:rFonts w:ascii="Times New Roman;Times;Serif" w:hAnsi="Times New Roman;Times;Serif"/>
          <w:b/>
          <w:i w:val="false"/>
          <w:caps w:val="false"/>
          <w:smallCaps w:val="false"/>
          <w:sz w:val="20"/>
        </w:rPr>
        <w:t>Barstow Agreement</w:t>
      </w:r>
      <w:r>
        <w:rPr>
          <w:rFonts w:ascii="Times New Roman;Times;Serif" w:hAnsi="Times New Roman;Times;Serif"/>
          <w:b w:val="false"/>
          <w:i w:val="false"/>
          <w:caps w:val="false"/>
          <w:smallCaps w:val="false"/>
          <w:sz w:val="20"/>
        </w:rPr>
        <w:t>”), with respect to the facility located at 3391 FM 873, Barstow, TX 79719 (the “</w:t>
      </w:r>
      <w:r>
        <w:rPr>
          <w:rFonts w:ascii="Times New Roman;Times;Serif" w:hAnsi="Times New Roman;Times;Serif"/>
          <w:b/>
          <w:i w:val="false"/>
          <w:caps w:val="false"/>
          <w:smallCaps w:val="false"/>
          <w:sz w:val="20"/>
        </w:rPr>
        <w:t>Barstow Hosting Site</w:t>
      </w:r>
      <w:r>
        <w:rPr>
          <w:rFonts w:ascii="Times New Roman;Times;Serif" w:hAnsi="Times New Roman;Times;Serif"/>
          <w:b w:val="false"/>
          <w:i w:val="false"/>
          <w:caps w:val="false"/>
          <w:smallCaps w:val="false"/>
          <w:sz w:val="20"/>
        </w:rPr>
        <w:t>”), (ii) the Hosting Agreement, dated July 9, 2026, by and between Seller and 321 Hamblen Ave LLC (the “</w:t>
      </w:r>
      <w:r>
        <w:rPr>
          <w:rFonts w:ascii="Times New Roman;Times;Serif" w:hAnsi="Times New Roman;Times;Serif"/>
          <w:b/>
          <w:i w:val="false"/>
          <w:caps w:val="false"/>
          <w:smallCaps w:val="false"/>
          <w:sz w:val="20"/>
        </w:rPr>
        <w:t>Hamblen Agreement</w:t>
      </w:r>
      <w:r>
        <w:rPr>
          <w:rFonts w:ascii="Times New Roman;Times;Serif" w:hAnsi="Times New Roman;Times;Serif"/>
          <w:b w:val="false"/>
          <w:i w:val="false"/>
          <w:caps w:val="false"/>
          <w:smallCaps w:val="false"/>
          <w:sz w:val="20"/>
        </w:rPr>
        <w:t>”), with respect to the facility located at 321 Hamblen Avenue, Morristown, TN 37813 (the “</w:t>
      </w:r>
      <w:r>
        <w:rPr>
          <w:rFonts w:ascii="Times New Roman;Times;Serif" w:hAnsi="Times New Roman;Times;Serif"/>
          <w:b/>
          <w:i w:val="false"/>
          <w:caps w:val="false"/>
          <w:smallCaps w:val="false"/>
          <w:sz w:val="20"/>
        </w:rPr>
        <w:t>Hamblen Hosting Site</w:t>
      </w:r>
      <w:r>
        <w:rPr>
          <w:rFonts w:ascii="Times New Roman;Times;Serif" w:hAnsi="Times New Roman;Times;Serif"/>
          <w:b w:val="false"/>
          <w:i w:val="false"/>
          <w:caps w:val="false"/>
          <w:smallCaps w:val="false"/>
          <w:sz w:val="20"/>
        </w:rPr>
        <w:t>”), and (iii) the Second Amended &amp; Restated Electronic Data Processing Services Agreement, dated June 3, 2026, by and between Seller and Blockchain Power Corp. (the “</w:t>
      </w:r>
      <w:r>
        <w:rPr>
          <w:rFonts w:ascii="Times New Roman;Times;Serif" w:hAnsi="Times New Roman;Times;Serif"/>
          <w:b/>
          <w:i w:val="false"/>
          <w:caps w:val="false"/>
          <w:smallCaps w:val="false"/>
          <w:sz w:val="20"/>
        </w:rPr>
        <w:t>Fairview Agreement</w:t>
      </w:r>
      <w:r>
        <w:rPr>
          <w:rFonts w:ascii="Times New Roman;Times;Serif" w:hAnsi="Times New Roman;Times;Serif"/>
          <w:b w:val="false"/>
          <w:i w:val="false"/>
          <w:caps w:val="false"/>
          <w:smallCaps w:val="false"/>
          <w:sz w:val="20"/>
        </w:rPr>
        <w:t>” and, together with the Barstow Agreement and the Hamblen Agreement, the “</w:t>
      </w:r>
      <w:r>
        <w:rPr>
          <w:rFonts w:ascii="Times New Roman;Times;Serif" w:hAnsi="Times New Roman;Times;Serif"/>
          <w:b/>
          <w:i w:val="false"/>
          <w:caps w:val="false"/>
          <w:smallCaps w:val="false"/>
          <w:sz w:val="20"/>
        </w:rPr>
        <w:t>Hosting Agreements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Purchased Contracts</w:t>
      </w:r>
      <w:r>
        <w:rPr>
          <w:rFonts w:ascii="Times New Roman;Times;Serif" w:hAnsi="Times New Roman;Times;Serif"/>
          <w:b w:val="false"/>
          <w:i w:val="false"/>
          <w:caps w:val="false"/>
          <w:smallCaps w:val="false"/>
          <w:sz w:val="20"/>
        </w:rPr>
        <w:t>”), with respect to the data center facility located at 1091 Miracle Run Rd, Fairview, WV 26570 (the “</w:t>
      </w:r>
      <w:r>
        <w:rPr>
          <w:rFonts w:ascii="Times New Roman;Times;Serif" w:hAnsi="Times New Roman;Times;Serif"/>
          <w:b/>
          <w:i w:val="false"/>
          <w:caps w:val="false"/>
          <w:smallCaps w:val="false"/>
          <w:sz w:val="20"/>
        </w:rPr>
        <w:t>Fairview Hosting Site</w:t>
      </w:r>
      <w:r>
        <w:rPr>
          <w:rFonts w:ascii="Times New Roman;Times;Serif" w:hAnsi="Times New Roman;Times;Serif"/>
          <w:b w:val="false"/>
          <w:i w:val="false"/>
          <w:caps w:val="false"/>
          <w:smallCaps w:val="false"/>
          <w:sz w:val="20"/>
        </w:rPr>
        <w:t>” and, together with the Barstow Hosting Site and the Hamblen Hosting Site, the “</w:t>
      </w:r>
      <w:r>
        <w:rPr>
          <w:rFonts w:ascii="Times New Roman;Times;Serif" w:hAnsi="Times New Roman;Times;Serif"/>
          <w:b/>
          <w:i w:val="false"/>
          <w:caps w:val="false"/>
          <w:smallCaps w:val="false"/>
          <w:sz w:val="20"/>
        </w:rPr>
        <w:t>Hosting Sites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Seller’s right, title and interest in and to the following deposits, prepaid fees and other prepaid amounts paid by or on behalf of Seller and held by or for the benefit of the applicable counterparty under or in connection with the Hosting Agreements: (x) the “Deposit” and the “Pre-Paid Fee” (as such terms are defined in the Fairview Agreement) paid by Seller under the Fairview Agreement in the amount of $501,702, (y) the first-month prepayment in the amount of $190,246 paid by Seller under the Barstow Agreement, and (z) the “Security Deposit” (as defined in the Hamblen Agreement) in the amount of $90,720 paid by Seller under the Hamblen Agreement, in each case to the extent paid by or on behalf of Seller and held by or for the benefit of the applicable counterparty as of the Closing (collectively, the “</w:t>
      </w:r>
      <w:r>
        <w:rPr>
          <w:rFonts w:ascii="Times New Roman;Times;Serif" w:hAnsi="Times New Roman;Times;Serif"/>
          <w:b/>
          <w:i w:val="false"/>
          <w:caps w:val="false"/>
          <w:smallCaps w:val="false"/>
          <w:sz w:val="20"/>
        </w:rPr>
        <w:t>Hosting Deposits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Seller’s rights under warranties, indemnities and similar rights against third parties (including equipment manufacturers) with respect to, or to the extent related to or arising from or under, the Mining Equipment, in each case, to the extent arising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1.02         Excluded Assets</w:t>
      </w:r>
      <w:r>
        <w:rPr>
          <w:rFonts w:ascii="Times New Roman;Times;Serif" w:hAnsi="Times New Roman;Times;Serif"/>
          <w:b w:val="false"/>
          <w:i w:val="false"/>
          <w:caps w:val="false"/>
          <w:smallCaps w:val="false"/>
          <w:sz w:val="20"/>
        </w:rPr>
        <w:t>. The Purchased Assets shall not include, and Seller shall retain, any and all assets, properties, rights, contracts and personnel arrangements of Seller other than the Purchased Assets (collectively, the “</w:t>
      </w:r>
      <w:r>
        <w:rPr>
          <w:rFonts w:ascii="Times New Roman;Times;Serif" w:hAnsi="Times New Roman;Times;Serif"/>
          <w:b/>
          <w:i w:val="false"/>
          <w:caps w:val="false"/>
          <w:smallCaps w:val="false"/>
          <w:sz w:val="20"/>
        </w:rPr>
        <w:t>Excluded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1.03         Consideration. </w:t>
      </w:r>
      <w:r>
        <w:rPr>
          <w:rFonts w:ascii="Times New Roman;Times;Serif" w:hAnsi="Times New Roman;Times;Serif"/>
          <w:b w:val="false"/>
          <w:i w:val="false"/>
          <w:caps w:val="false"/>
          <w:smallCaps w:val="false"/>
          <w:sz w:val="20"/>
        </w:rPr>
        <w:t xml:space="preserve">At the Closing, Parent shall issue to WTI a pre-funded warrant,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Pre-Funded Warrant</w:t>
      </w:r>
      <w:r>
        <w:rPr>
          <w:rFonts w:ascii="Times New Roman;Times;Serif" w:hAnsi="Times New Roman;Times;Serif"/>
          <w:b w:val="false"/>
          <w:i w:val="false"/>
          <w:caps w:val="false"/>
          <w:smallCaps w:val="false"/>
          <w:sz w:val="20"/>
        </w:rPr>
        <w:t>”), to purchase shares of common stock, par value $0.001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of Parent, which Pre-Funded Warrant, together with Buyer’s assumption of the Assumed Liabilities pursuant to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below, shall constitute the sole and entire consideration to be provided by Parent and Buyer to Seller and WTI for and in connection with the sale of the Purchased Assets by Seller to Buyer pursuant to this Agreement. The Parties hereby expressly acknowledge and agree that Parent’s agreement to issue the Pre-Funded Warrant to WTI pursuant to, and in accordance with, the terms of this Agreement shall constitute part of the consideration for Seller’s agreement to sell and transfer the Purchased Assets to the Buyer pursuant to, and in accordance with, the terms of this Agreement. The total number of shares of Common Stock underlying the Pre-Funded Warrant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at the time of the Closing shall be equal to (i) the Aggregate Purchase Price (as defined below) divided by (ii) the Per Share Purchase Price (as defined below). For purposes of this Agreement: (1) the “</w:t>
      </w:r>
      <w:r>
        <w:rPr>
          <w:rFonts w:ascii="Times New Roman;Times;Serif" w:hAnsi="Times New Roman;Times;Serif"/>
          <w:b/>
          <w:i w:val="false"/>
          <w:caps w:val="false"/>
          <w:smallCaps w:val="false"/>
          <w:sz w:val="20"/>
        </w:rPr>
        <w:t>Aggregate Purchase Price</w:t>
      </w:r>
      <w:r>
        <w:rPr>
          <w:rFonts w:ascii="Times New Roman;Times;Serif" w:hAnsi="Times New Roman;Times;Serif"/>
          <w:b w:val="false"/>
          <w:i w:val="false"/>
          <w:caps w:val="false"/>
          <w:smallCaps w:val="false"/>
          <w:sz w:val="20"/>
        </w:rPr>
        <w:t>” means $33,333,333, which amount consists of the aggregate purchase price of the Purchased Assets as mutually agreed upon by the Parties; and (2) the “</w:t>
      </w:r>
      <w:r>
        <w:rPr>
          <w:rFonts w:ascii="Times New Roman;Times;Serif" w:hAnsi="Times New Roman;Times;Serif"/>
          <w:b/>
          <w:i w:val="false"/>
          <w:caps w:val="false"/>
          <w:smallCaps w:val="false"/>
          <w:sz w:val="20"/>
        </w:rPr>
        <w:t>Per Share Purchase Price</w:t>
      </w:r>
      <w:r>
        <w:rPr>
          <w:rFonts w:ascii="Times New Roman;Times;Serif" w:hAnsi="Times New Roman;Times;Serif"/>
          <w:b w:val="false"/>
          <w:i w:val="false"/>
          <w:caps w:val="false"/>
          <w:smallCaps w:val="false"/>
          <w:sz w:val="20"/>
        </w:rPr>
        <w:t>” means $0.77, which is equal to the greater of (x) the average Nasdaq official closing price of the Common Stock for the five (5) trading days immediately preceding the signing of this Agreement and (y) the price per share of the Common Stock that reflects an mNAV of 1 as calculated on the dashboard at cypherpunk.com after the close of business on the day of the signing of this Agreement. The Pre-Funded Warrant includes provisions that limit the right of the holder of the Pre-Funded Warrant to exercise the Pre-Funded Warrant and to receive Pre-Funded Warrant Shares upon or in connection with such exercise, and the obligation of Parent to give effect to the exercise of the Pre-Funded Warrant by the holder thereof and to issue Pre-Funded Warrant Shares upon or in connection with such exercise, if and to the extent that any issuance of Pre-Funded Warrant Shares pursuant to, or in connection with, the exercise of the Pre-Funded Warrant would violate or result in a violation of Nasdaq Listing Rule 5635(a), Nasdaq Listing Rule 5635(b), and/or Nasdaq Listing Rule 5635(d),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1.04          Assumed Liabilities; No Historical Liabilities Assumed</w:t>
      </w:r>
      <w:r>
        <w:rPr>
          <w:rFonts w:ascii="Times New Roman;Times;Serif" w:hAnsi="Times New Roman;Times;Serif"/>
          <w:b w:val="false"/>
          <w:i w:val="false"/>
          <w:caps w:val="false"/>
          <w:smallCaps w:val="false"/>
          <w:sz w:val="20"/>
        </w:rPr>
        <w:t xml:space="preserve">. Subject to the terms and conditions set forth herein, Buyer shall assume and agree to pay, perform, fulfill and discharge when due any and all of those Liabilities (as defined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below) of Seller under the Purchased Contracts (other than any Excluded Liabilities thereunder) that first accrue and arise, and relate solely to any period of time, after the Closing, including, without limitation, all Liabilities for transfer taxes for which the Buyer is liable pursuant to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(all Liabilities that Buyer is agreeing to assume pursuant to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being referred to, collectively, the “</w:t>
      </w:r>
      <w:r>
        <w:rPr>
          <w:rFonts w:ascii="Times New Roman;Times;Serif" w:hAnsi="Times New Roman;Times;Serif"/>
          <w:b/>
          <w:i w:val="false"/>
          <w:caps w:val="false"/>
          <w:smallCaps w:val="false"/>
          <w:sz w:val="20"/>
        </w:rPr>
        <w:t>Assumed Liabilities</w:t>
      </w:r>
      <w:r>
        <w:rPr>
          <w:rFonts w:ascii="Times New Roman;Times;Serif" w:hAnsi="Times New Roman;Times;Serif"/>
          <w:b w:val="false"/>
          <w:i w:val="false"/>
          <w:caps w:val="false"/>
          <w:smallCaps w:val="false"/>
          <w:sz w:val="20"/>
        </w:rPr>
        <w:t>”). For the avoidance of doubt, and notwithstanding anything to the contrary in this Agreement, Buyer shall not assume, and shall have no responsibility for, any Liability arising out of, relating to, or accrued in connection with the Purchased Contracts or any of the other Purchased Assets to the extent that any such Liability first accrues or arises, or relates to any period of time, prior to the Closing or arises out of or relates to Seller’s ownership, use or operation of any of the Purchased Assets at any time prior to the Closing, all of which shall constitute Excluded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1.05         Excluded Liabilities</w:t>
      </w:r>
      <w:r>
        <w:rPr>
          <w:rFonts w:ascii="Times New Roman;Times;Serif" w:hAnsi="Times New Roman;Times;Serif"/>
          <w:b w:val="false"/>
          <w:i w:val="false"/>
          <w:caps w:val="false"/>
          <w:smallCaps w:val="false"/>
          <w:sz w:val="20"/>
        </w:rPr>
        <w:t>. Buyer shall not assume and shall not be responsible to pay, perform, fulfill or discharge any Liabilities of Seller that are not Assumed Liabilities, including, but not limited to, the following Liabilities of Seller (collectively, the “</w:t>
      </w:r>
      <w:r>
        <w:rPr>
          <w:rFonts w:ascii="Times New Roman;Times;Serif" w:hAnsi="Times New Roman;Times;Serif"/>
          <w:b/>
          <w:i w:val="false"/>
          <w:caps w:val="false"/>
          <w:smallCaps w:val="false"/>
          <w:sz w:val="20"/>
        </w:rPr>
        <w:t>Excluded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Liabilities under any contract or agreement of Seller other than the Purchased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Liabilities under the Purchased Contracts if and to the extent that such Liabilities first arise or accrue prior to the Closing or pertain or otherwise relate to any period of time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Liabilities relating to or arising out of the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Liabilities for any income, capital gains, franchise or any other Taxes (as defined in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 xml:space="preserve"> hereof) of Seller or imposed on Seller under applicable Law (as defined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hereof) other than Taxes for which Buyer is liable pursuant to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Liabilities of Seller under this Agreement or any of the other Transaction Documents (as defined in </w:t>
      </w:r>
      <w:r>
        <w:rPr>
          <w:rFonts w:ascii="Times New Roman;Times;Serif" w:hAnsi="Times New Roman;Times;Serif"/>
          <w:b w:val="false"/>
          <w:i w:val="false"/>
          <w:caps w:val="false"/>
          <w:smallCaps w:val="false"/>
          <w:sz w:val="20"/>
          <w:u w:val="single"/>
        </w:rPr>
        <w:t>Section 2.02(a)(iii)</w:t>
      </w:r>
      <w:r>
        <w:rPr>
          <w:rFonts w:ascii="Times New Roman;Times;Serif" w:hAnsi="Times New Roman;Times;Serif"/>
          <w:b w:val="false"/>
          <w:i w:val="false"/>
          <w:caps w:val="false"/>
          <w:smallCaps w:val="false"/>
          <w:sz w:val="20"/>
        </w:rPr>
        <w:t> hereof) or arising or incurred in connection with the negotiation, preparation, investigation and performance by Seller of this Agreement, the other Transaction Documents and the transactions contemplated hereby and thereby, including fees and expenses of counsel, accountants, consultants, advisers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term “</w:t>
      </w:r>
      <w:r>
        <w:rPr>
          <w:rFonts w:ascii="Times New Roman;Times;Serif" w:hAnsi="Times New Roman;Times;Serif"/>
          <w:b/>
          <w:i w:val="false"/>
          <w:caps w:val="false"/>
          <w:smallCaps w:val="false"/>
          <w:sz w:val="20"/>
        </w:rPr>
        <w:t>Liabilities</w:t>
      </w:r>
      <w:r>
        <w:rPr>
          <w:rFonts w:ascii="Times New Roman;Times;Serif" w:hAnsi="Times New Roman;Times;Serif"/>
          <w:b w:val="false"/>
          <w:i w:val="false"/>
          <w:caps w:val="false"/>
          <w:smallCaps w:val="false"/>
          <w:sz w:val="20"/>
        </w:rPr>
        <w:t>” means liabilities, obligations or commitments of any nature whatsoever, whether asserted or unasserted, known or unknown, absolute or contingent, accrued or unaccrued, matured or unmatured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1.06         Third-Party Consents</w:t>
      </w:r>
      <w:r>
        <w:rPr>
          <w:rFonts w:ascii="Times New Roman;Times;Serif" w:hAnsi="Times New Roman;Times;Serif"/>
          <w:b w:val="false"/>
          <w:i w:val="false"/>
          <w:caps w:val="false"/>
          <w:smallCaps w:val="false"/>
          <w:sz w:val="20"/>
        </w:rPr>
        <w:t xml:space="preserve">. The Parties acknowledge that the assignment of each Hosting Agreement to Buyer requires the prior written consent of the counterparty thereto, and Seller shall obtain and deliver at the Closing the Novation Agreements (as defined below) in accordance with the provisions of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 each duly executed by Seller and the counterparty to the Hosting Agreement to which the applicable Novation Agreement pertains. To the extent that Seller’s rights under any other Purchased Asset may not be assigned to Buyer without the consent of another Person (a “</w:t>
      </w:r>
      <w:r>
        <w:rPr>
          <w:rFonts w:ascii="Times New Roman;Times;Serif" w:hAnsi="Times New Roman;Times;Serif"/>
          <w:b/>
          <w:i w:val="false"/>
          <w:caps w:val="false"/>
          <w:smallCaps w:val="false"/>
          <w:sz w:val="20"/>
        </w:rPr>
        <w:t>Required Consent</w:t>
      </w:r>
      <w:r>
        <w:rPr>
          <w:rFonts w:ascii="Times New Roman;Times;Serif" w:hAnsi="Times New Roman;Times;Serif"/>
          <w:b w:val="false"/>
          <w:i w:val="false"/>
          <w:caps w:val="false"/>
          <w:smallCaps w:val="false"/>
          <w:sz w:val="20"/>
        </w:rPr>
        <w:t xml:space="preserve">”) which has not been obtained as of the Closing, this Agreement shall not constitute an agreement to assign the same if an attempted assignment would constitute a breach thereof or be unlawful;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following the Closing, Seller and Buyer shall use commercially reasonable efforts, and shall cooperate with each other to obtain any such Required Consent(s) as promptly as possible following;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neither Seller nor Buyer shall be required to pay any consideration therefor. If any such Required Consent cannot be obtained following the Closing in accordance with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Buyer and Seller shall use commercially reasonable efforts to enter into such arrangements to provide the parties the economic, and to the extent permitted under applicable Law, operational equivalent of the transfer of such Purchased Asset to Buyer as of the Closing and the performance by Buyer of its obligations with respect thereto. Seller, to the maximum extent permitted by Law and the Purchased Asset, shall act after the Closing as Buyer’s agent in order to obtain for it the benefits thereunder and shall cooperate, to the maximum extent permitted by Law and the Purchased Asset, with Buyer in any other reasonable arrangement designed to provide such benefits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1.07         Purchase Price Allocation. </w:t>
      </w:r>
      <w:r>
        <w:rPr>
          <w:rFonts w:ascii="Times New Roman;Times;Serif" w:hAnsi="Times New Roman;Times;Serif"/>
          <w:b w:val="false"/>
          <w:i w:val="false"/>
          <w:caps w:val="false"/>
          <w:smallCaps w:val="false"/>
          <w:sz w:val="20"/>
        </w:rPr>
        <w:t>Buyer and Seller agree that the Aggregate Purchase Price (together with any other items properly treated as consideration for U.S. federal income tax purposes) shall be allocated among the Purchased Assets in accordance with Section 1060 of the Internal Revenue Code of 1986, as amended, and the Treasury Regulations promulgated thereunder. Within ninety (90) days after the Closing Date, Buyer shall prepare and deliver to Seller a schedule setting forth the proposed allocation of the Aggregate Purchase Price (including any Assumed Liabilities treated as consideration for the Purchased Assets for Tax purposes) (the “</w:t>
      </w:r>
      <w:r>
        <w:rPr>
          <w:rFonts w:ascii="Times New Roman;Times;Serif" w:hAnsi="Times New Roman;Times;Serif"/>
          <w:b/>
          <w:i w:val="false"/>
          <w:caps w:val="false"/>
          <w:smallCaps w:val="false"/>
          <w:sz w:val="20"/>
        </w:rPr>
        <w:t>Allocation Schedule</w:t>
      </w:r>
      <w:r>
        <w:rPr>
          <w:rFonts w:ascii="Times New Roman;Times;Serif" w:hAnsi="Times New Roman;Times;Serif"/>
          <w:b w:val="false"/>
          <w:i w:val="false"/>
          <w:caps w:val="false"/>
          <w:smallCaps w:val="false"/>
          <w:sz w:val="20"/>
        </w:rPr>
        <w:t>”). The Allocation Schedule shall be deemed final unless Seller notifies Buyer in writing that Seller objects to one or more items reflected in the Allocation Schedule within thirty (30) days after the delivery of the Allocation Schedule to Seller (a “</w:t>
      </w: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 xml:space="preserve">”). In the event of any such objection, Seller and Buyer shall negotiate in good faith to promptly resolve such dispute;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Seller and Buyer are unable to resolve any dispute with respect to the Allocation Schedule within thirty (30) days after the delivery of a Dispute Notice to Buyer, such dispute shall be resolved by a nationally recognized firm of independent certified public accountants mutually appointed by Buyer and Seller. The fees and expenses of such accounting firm shall be borne by Buyer, on the one hand, and/or Seller, on the other hand, based upon the percentage which the portion of the disputed amount not awarded to each party bears to the amount actually contested by such party, as determined by such accounting firm. Buyer and Seller shall file all Tax returns (including IRS Form 8594) in a manner consistent with the Allocation Schedule (as finally determined in accordance with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and shall not take any position for Tax purposes inconsistent therewith, in each case except as otherwise required by a final determination of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2.01         Closing. </w:t>
      </w:r>
      <w:r>
        <w:rPr>
          <w:rFonts w:ascii="Times New Roman;Times;Serif" w:hAnsi="Times New Roman;Times;Serif"/>
          <w:b w:val="false"/>
          <w:i w:val="false"/>
          <w:caps w:val="false"/>
          <w:smallCaps w:val="false"/>
          <w:sz w:val="20"/>
        </w:rPr>
        <w:t>Subject to the terms and conditions of this Agreement, consummation of the transactions contemplated by this Agreement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take place simultaneously with the execution of this Agreement by exchange of documents and signatures (or their electronic counterparts). The date on which the Closing occurs is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         Closing Deliverables</w:t>
      </w:r>
      <w:r>
        <w:rPr>
          <w:rFonts w:ascii="Times New Roman;Times;Serif" w:hAnsi="Times New Roman;Times;Serif"/>
          <w:b w:val="false"/>
          <w:i w:val="false"/>
          <w:caps w:val="false"/>
          <w:smallCaps w:val="false"/>
          <w:sz w:val="20"/>
        </w:rPr>
        <w:t>.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shall deliver to Buyer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Seller’s duly executed counterpart to the bill of sale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i w:val="false"/>
          <w:caps w:val="false"/>
          <w:smallCaps w:val="false"/>
          <w:sz w:val="20"/>
        </w:rPr>
        <w:t>Bill of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counterpart duly executed by Seller and Mintwest Colocation Texas LLC of a Novation Agreement, in form and substance reasonably acceptable to the parties thereto, with respect to the Barstow Agreement (the “</w:t>
      </w:r>
      <w:r>
        <w:rPr>
          <w:rFonts w:ascii="Times New Roman;Times;Serif" w:hAnsi="Times New Roman;Times;Serif"/>
          <w:b/>
          <w:i w:val="false"/>
          <w:caps w:val="false"/>
          <w:smallCaps w:val="false"/>
          <w:sz w:val="20"/>
        </w:rPr>
        <w:t>Barstow Novation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counterpart duly executed by Seller and Blockchain Power Corp. of a Novation Agreement, in form and substance reasonably acceptable to the parties thereto, with respect to the Fairview Agreement (the “</w:t>
      </w:r>
      <w:r>
        <w:rPr>
          <w:rFonts w:ascii="Times New Roman;Times;Serif" w:hAnsi="Times New Roman;Times;Serif"/>
          <w:b/>
          <w:i w:val="false"/>
          <w:caps w:val="false"/>
          <w:smallCaps w:val="false"/>
          <w:sz w:val="20"/>
        </w:rPr>
        <w:t>Fairview Novation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counterpart duly executed by Seller and 321 Hamblen Ave LLC of a Novation Agreement, in form and substance reasonably acceptable to the parties thereto, with respect to the Hamblen Agreement (the “</w:t>
      </w:r>
      <w:r>
        <w:rPr>
          <w:rFonts w:ascii="Times New Roman;Times;Serif" w:hAnsi="Times New Roman;Times;Serif"/>
          <w:b/>
          <w:i w:val="false"/>
          <w:caps w:val="false"/>
          <w:smallCaps w:val="false"/>
          <w:sz w:val="20"/>
        </w:rPr>
        <w:t>Hamblen Novation Agreement</w:t>
      </w:r>
      <w:r>
        <w:rPr>
          <w:rFonts w:ascii="Times New Roman;Times;Serif" w:hAnsi="Times New Roman;Times;Serif"/>
          <w:b w:val="false"/>
          <w:i w:val="false"/>
          <w:caps w:val="false"/>
          <w:smallCaps w:val="false"/>
          <w:sz w:val="20"/>
        </w:rPr>
        <w:t>” and, collectively with the Barstow Novation Agreement and the Fairview Novation Agreement, the “</w:t>
      </w:r>
      <w:r>
        <w:rPr>
          <w:rFonts w:ascii="Times New Roman;Times;Serif" w:hAnsi="Times New Roman;Times;Serif"/>
          <w:b/>
          <w:i w:val="false"/>
          <w:caps w:val="false"/>
          <w:smallCaps w:val="false"/>
          <w:sz w:val="20"/>
        </w:rPr>
        <w:t>Novation Agreements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certificate of an authorized officer or manager of Seller certifying as to (1) the resolutions adopted by the board of managers of Seller authorizing the execution, delivery, and performance by and on behalf of Seller of this Agreement, the Bill of Sale, the Novation Agreements, the RRA Amendment (as defined below) and the other agreements, instruments, and documents required to be delivered in connection with this Agreement or at the Closing (collectively,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to which Seller is a party, and the consummation of the transactions contemplated hereby and thereby to be consummated by Seller, and (2) the names, titles and signatures of the individuals authorized to sign this Agreement and the other Transaction Documents on behalf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shall deliver to Seller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Buyer’s duly executed counterpart to the Bill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Buyer’s duly executed counterpart to each of the Novation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certificate of the Managing Member of Buyer certifying as to (1) the resolutions adopted by the Managing Member of Buyer authorizing the execution, delivery, and performance by and on behalf of Buyer of this Agreement, the Bill of Sale, the Novation Agreements and the other Transaction Documents to which Buyer is a party, and the consummation of the transactions contemplated hereby and thereby to be consummated by Buyer, and (2) the names, titles and signatures of the individuals authorized to sign this Agreement and the other Transaction Documents on behalf of Buyer and the Managing Member of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WTI shall deliver to Parent and Buyer a certificate of an authorized officer or manager of WTI certifying as to (1) the resolutions adopted by the board of managers of WTI authorizing the execution, delivery, and performance of this Agreement and the other Transaction Documents to which WTI is a party by and on behalf of WTI, and (2) the names, titles and signatures of the individuals authorized to sign this Agreement on behalf of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WTI shall deliver to Parent WTI’s duly executed counterpart to the First Amendment to Registration Rights Agreement, in substantially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RRA Amendment</w:t>
      </w:r>
      <w:r>
        <w:rPr>
          <w:rFonts w:ascii="Times New Roman;Times;Serif" w:hAnsi="Times New Roman;Times;Serif"/>
          <w:b w:val="false"/>
          <w:i w:val="false"/>
          <w:caps w:val="false"/>
          <w:smallCaps w:val="false"/>
          <w:sz w:val="20"/>
        </w:rPr>
        <w:t>”), pursuant to which the Pre-Funded Warrant Shares shall be added as Registrable Securities under, and shall otherwise become subject to the terms of, that certain Registration Rights Agreement, dated as of October 6, 2025, by and among Parent and the investors party thereto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shall deliver to WTI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Pre-Funded Warrant, duly issued in the name of WTI;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Parent’s duly executed counterpart to the RRA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deliver to WTI and Seller a certificate of the Secretary (or equivalent officer) of Parent certifying as to (A) the resolutions of the board of directors of Parent and Parent’s nominating and corporate governance committee authorizing the issuance of the Pre-Funded Warrant, the execution, delivery and performance by and on behalf of Parent of this Agreement and the other Transaction Documents to which Parent is a party, the execution, delivery and performance by and on behalf of Buyer of this Agreement and the other Transaction Documents to which Buyer is a party, and the consummation of the transactions contemplated under this Agreement and other Transaction Documents to be consummated by Buyer, and (B) the names, titles and signatures of the officers of Parent authorized to sign the Pre-Funded Warrant and this Agreement on behalf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REPRESENTATIONS AND WARRANTIES OF The SELLER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Parties, jointly and severally, represent and warrant to the Buyer Parties that the statements contained in this </w:t>
      </w:r>
      <w:r>
        <w:rPr>
          <w:rFonts w:ascii="Times New Roman;Times;Serif" w:hAnsi="Times New Roman;Times;Serif"/>
          <w:b/>
          <w:i w:val="false"/>
          <w:caps w:val="false"/>
          <w:smallCaps w:val="false"/>
          <w:sz w:val="20"/>
        </w:rPr>
        <w:t>ARTICLE III</w:t>
      </w:r>
      <w:r>
        <w:rPr>
          <w:rFonts w:ascii="Times New Roman;Times;Serif" w:hAnsi="Times New Roman;Times;Serif"/>
          <w:b w:val="false"/>
          <w:i w:val="false"/>
          <w:caps w:val="false"/>
          <w:smallCaps w:val="false"/>
          <w:sz w:val="20"/>
        </w:rPr>
        <w:t xml:space="preserve"> are true and correct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         Organization and Authority of Seller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is a limited liability company duly organized, validly existing, and in good standing in the State of Delaware. Seller has full power and authority to enter into this Agreement and the other Transaction Documents to which Seller is a party, to carry out its obligations hereunder and thereunder, and to consummate the transactions contemplated hereby and thereby to be consummated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WTI is a limited liability company duly organized, validly existing, and in good standing in the State of Delaware. WTI has full power and authority to enter into this Agreement and the other Transaction Documents to which WTI is a party, to carry out its obligations hereunder and thereunder, and to consummate the transactions contemplated hereby and thereby to be consummated by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and delivery by each of Seller and WTI of this Agreement and the other Transaction Documents to which such Party is a party, the performance by each of Seller and WTI of its obligations hereunder and thereunder, and the consummation by each of Seller and WTI of the transactions contemplated hereby and thereby to be consummated by such Party have been duly authorized by all requisite action on the part of Seller and WTI, respectively. Assuming due authorization, execution and delivery by the Buyer Parties, this Agreement constitutes the legal, valid and binding obligation of each of Seller and WTI, enforceable against each of them in accordance with its terms, except to the extent enforcement may be affected by Laws relating to bankruptcy, reorganization, insolvency and creditors’ rights and by the availability of injunctive relief, specific performance and other equitable remedies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Assuming due authorization, execution and delivery by each of the other parties thereto, each of the other Transaction Documents to which either Seller or WTI is a party constitutes the legal, valid and binding obligation of Seller or WTI, as applicable, enforceable against Seller or WTI, as applicable, in accordance with its terms, except to the extent enforcement may be affected by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3.02         No Conflicts or Consents. </w:t>
      </w:r>
      <w:r>
        <w:rPr>
          <w:rFonts w:ascii="Times New Roman;Times;Serif" w:hAnsi="Times New Roman;Times;Serif"/>
          <w:b w:val="false"/>
          <w:i w:val="false"/>
          <w:caps w:val="false"/>
          <w:smallCaps w:val="false"/>
          <w:sz w:val="20"/>
        </w:rPr>
        <w:t>The execution, delivery, and performance by each of Seller and WTI of this Agreement and the other Transaction Documents to which either is a party, and the consummation of the transactions contemplated hereby and thereby, do not and will not: (a) violate or conflict with any provision of the organizational and other governing documents of Seller or WTI; (b) violate or conflict with any provision of any statute, law, ordinance, regulation, rule, code, constitution, treaty, common law, other requirement, or rule of law of any federal, state, local, or foreign government or political subdivision thereof, or any agency or instrumentality of such government or political subdivision or any arbitrator, court, or tribunal of competent jurisdiction (each, a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(collectively, “</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or any order, writ, judgment, injunction, decree, stipulation, determination, penalty, or award entered by or with any Governmental Authority (“</w:t>
      </w:r>
      <w:r>
        <w:rPr>
          <w:rFonts w:ascii="Times New Roman;Times;Serif" w:hAnsi="Times New Roman;Times;Serif"/>
          <w:b/>
          <w:i w:val="false"/>
          <w:caps w:val="false"/>
          <w:smallCaps w:val="false"/>
          <w:sz w:val="20"/>
        </w:rPr>
        <w:t>Governmental Order</w:t>
      </w:r>
      <w:r>
        <w:rPr>
          <w:rFonts w:ascii="Times New Roman;Times;Serif" w:hAnsi="Times New Roman;Times;Serif"/>
          <w:b w:val="false"/>
          <w:i w:val="false"/>
          <w:caps w:val="false"/>
          <w:smallCaps w:val="false"/>
          <w:sz w:val="20"/>
        </w:rPr>
        <w:t>”), in each case, applicable to Seller, WTI, or the Purchased Assets; (c) other than the Hosting Agreements, require the consent, notice, declaration, or filing with or other action (including, without limitation, under or pursuant to the terms of any Purchased Contract) by any individual, corporation, partnership, joint venture, limited liability company, Governmental Authority, unincorporated organization, trust, association, or other entity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or require any permit, license, or Governmental Order; or (d) other than the Hosting Consents, violate or conflict with, result in the acceleration of, or create in any Person the right to accelerate, terminate, modify, or cancel any contract, lease, license, instrument, note, commitment, undertaking, indenture, joint venture, or other agreement, commitment, or legally binding arrangement, whether written or oral (each a “</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to which any of the Purchased Assets are subject (including any Purchased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3.03         Purchased Contracts</w:t>
      </w:r>
      <w:r>
        <w:rPr>
          <w:rFonts w:ascii="Times New Roman;Times;Serif" w:hAnsi="Times New Roman;Times;Serif"/>
          <w:b w:val="false"/>
          <w:i w:val="false"/>
          <w:caps w:val="false"/>
          <w:smallCaps w:val="false"/>
          <w:sz w:val="20"/>
        </w:rPr>
        <w:t>. Each Purchased Contract is in full force and effect in accordance with its terms except to the extent enforcement may be affected by Enforceability Exceptions, and is the legal, valid and binding obligation of the parties thereto. Neither Seller nor, to Seller’s knowledge, any other party thereto is in breach of or default under (or is alleged in writing to be in breach of or default under), in any material respect, or has provided or received any written notice of any intention to terminate, any Purchased Contract. To Seller’s knowledge, no event or circumstance has occurred that would constitute an event of default under any Purchased Contract or result in a termination thereof. Complete and correct copies of each Purchased Contract (including all modifications, amendments, and supplements thereto and waivers thereunder) have been made available to Buyer. To the Seller’s knowledge, there are no disputes pending or threatened under any Purchased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         Title to Purchased Assets</w:t>
      </w:r>
      <w:r>
        <w:rPr>
          <w:rFonts w:ascii="Times New Roman;Times;Serif" w:hAnsi="Times New Roman;Times;Serif"/>
          <w:b w:val="false"/>
          <w:i w:val="false"/>
          <w:caps w:val="false"/>
          <w:smallCaps w:val="false"/>
          <w:sz w:val="20"/>
        </w:rPr>
        <w:t>. Seller has good and valid title to all of the Purchased Assets, free and clear of any charge, claim, pledge, equitable interest, lien, security interest, restriction of any kind, or other encumbrance (“</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”)other than Permitted Encumbrances (as defined below). Seller has the full right, power and authority to sell, convey, transfer, assign and deliver the Purchased Assets to Buyer as contemplated by the Transaction Documents, and upon the consummation of the transactions contemplated hereby and the Closing, Buyer will acquire good, valid and marketable title to all of the Purchased Assets, free and clear of any Encumbrances other than Permitted Encumbrances. The term “</w:t>
      </w:r>
      <w:r>
        <w:rPr>
          <w:rFonts w:ascii="Times New Roman;Times;Serif" w:hAnsi="Times New Roman;Times;Serif"/>
          <w:b/>
          <w:i w:val="false"/>
          <w:caps w:val="false"/>
          <w:smallCaps w:val="false"/>
          <w:sz w:val="20"/>
        </w:rPr>
        <w:t>Permitted Encumbrances</w:t>
      </w:r>
      <w:r>
        <w:rPr>
          <w:rFonts w:ascii="Times New Roman;Times;Serif" w:hAnsi="Times New Roman;Times;Serif"/>
          <w:b w:val="false"/>
          <w:i w:val="false"/>
          <w:caps w:val="false"/>
          <w:smallCaps w:val="false"/>
          <w:sz w:val="20"/>
        </w:rPr>
        <w:t>” means, collectively (a) Encumbrances for Taxes not yet due and payable or being contested in good faith by appropriate procedures; (b) mechanics’, carriers’, workmen’s, repairmen’s or other like Encumbrances arising or incurred in the ordinary course of business; (c) easements, rights of way, zoning ordinances and other similar encumbrances affecting real property; (d) Encumbrances arising under original purchase price conditional sales contracts and equipment leases with third parties entered into in the ordinary course of business; and (e) Encumbrances incurred or deposits made in the ordinary course of business in connection with workers’ compensation, unemployment insurance and other types of social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3.05         Condition and Sufficiency of Assets</w:t>
      </w:r>
      <w:r>
        <w:rPr>
          <w:rFonts w:ascii="Times New Roman;Times;Serif" w:hAnsi="Times New Roman;Times;Serif"/>
          <w:b w:val="false"/>
          <w:i w:val="false"/>
          <w:caps w:val="false"/>
          <w:smallCaps w:val="false"/>
          <w:sz w:val="20"/>
        </w:rPr>
        <w:t>. The Purchased Assets (including, without limitation, the Mining Equipment) (i) are, in all material respects, structurally sound, in good operating condition and repair, normal wear and tear excepted, (ii) are free from material defects (patent and latent), and (iii) have been maintained in accordance with customary industry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3.06         Legal Proceedings; Governmental Orders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are no claims, actions, causes of action, demands, lawsuits, arbitrations, inquiries, audits, notices of violation, proceedings, litigation, citations, summons, subpoenas, or investigations of any nature, whether at law or in equity (collectively, “</w:t>
      </w:r>
      <w:r>
        <w:rPr>
          <w:rFonts w:ascii="Times New Roman;Times;Serif" w:hAnsi="Times New Roman;Times;Serif"/>
          <w:b/>
          <w:i w:val="false"/>
          <w:caps w:val="false"/>
          <w:smallCaps w:val="false"/>
          <w:sz w:val="20"/>
        </w:rPr>
        <w:t>Actions</w:t>
      </w:r>
      <w:r>
        <w:rPr>
          <w:rFonts w:ascii="Times New Roman;Times;Serif" w:hAnsi="Times New Roman;Times;Serif"/>
          <w:b w:val="false"/>
          <w:i w:val="false"/>
          <w:caps w:val="false"/>
          <w:smallCaps w:val="false"/>
          <w:sz w:val="20"/>
        </w:rPr>
        <w:t>”) pending or, to Seller’s knowledge, threatened against or by Seller: (i) against or involving the Purchased Assets, or the Assumed Liabilities; or (ii) that challenge or seek to prevent, enjoin, or otherwise delay the transactions contemplated by this Agreement. To Seller’s knowledge, no event has occurred or circumstances exist that may give rise to, or serve as a basis for,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outstanding Governmental Orders against or involving the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3.07         Compliance with Laws</w:t>
      </w:r>
      <w:r>
        <w:rPr>
          <w:rFonts w:ascii="Times New Roman;Times;Serif" w:hAnsi="Times New Roman;Times;Serif"/>
          <w:b w:val="false"/>
          <w:i w:val="false"/>
          <w:caps w:val="false"/>
          <w:smallCaps w:val="false"/>
          <w:sz w:val="20"/>
        </w:rPr>
        <w:t>. Seller is in compliance with all Laws applicable to the ownership and use of the Purchased Assets or to the performance of the Assumed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3.08         Taxes. </w:t>
      </w:r>
      <w:r>
        <w:rPr>
          <w:rFonts w:ascii="Times New Roman;Times;Serif" w:hAnsi="Times New Roman;Times;Serif"/>
          <w:b w:val="false"/>
          <w:i w:val="false"/>
          <w:caps w:val="false"/>
          <w:smallCaps w:val="false"/>
          <w:sz w:val="20"/>
        </w:rPr>
        <w:t>All Taxes due and owing by Seller have been, or will be, timely paid. No extensions or waivers of statutes of limitations have been given or requested with respect to any Taxes of Seller. All Tax returns required to be filed by Seller for any tax periods prior to Closing have been, or will be, timely filed. Such Tax returns are, or will be, true, complete, and correct in all material respects. The term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federal, state, local, foreign, and other income, gross receipts, sales, use, production, ad valorem, transfer, documentary, franchise, registration, profits, license, withholding, payroll, employment, unemployment, excise, severance, stamp, occupation, premium, property (real or personal), customs, duties, or other taxes, fees, assessments, or charges of any kind whatsoever, together with any interest, additions, or penalties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3.09         Brokers</w:t>
      </w:r>
      <w:r>
        <w:rPr>
          <w:rFonts w:ascii="Times New Roman;Times;Serif" w:hAnsi="Times New Roman;Times;Serif"/>
          <w:b w:val="false"/>
          <w:i w:val="false"/>
          <w:caps w:val="false"/>
          <w:smallCaps w:val="false"/>
          <w:sz w:val="20"/>
        </w:rPr>
        <w:t>. No broker, finder, or investment banker is entitled to any brokerage, finder’s, or other fee or commission in connection with the transactions contemplated by this Agreement or any other Transaction Document based upon arrangements made by or on behalf of Seller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3.10         Investment Representations of WTI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Own Account</w:t>
      </w:r>
      <w:r>
        <w:rPr>
          <w:rFonts w:ascii="Times New Roman;Times;Serif" w:hAnsi="Times New Roman;Times;Serif"/>
          <w:b w:val="false"/>
          <w:i w:val="false"/>
          <w:caps w:val="false"/>
          <w:smallCaps w:val="false"/>
          <w:sz w:val="20"/>
        </w:rPr>
        <w:t>. WTI is acquiring the Pre-Funded Warrant as principal for its own account and not with a view to or for distributing or reselling the Pre-Funded Warrant or the Pre-Funded Warrant Shares in violation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has no present intention of distributing the Pre-Funded Warrant or Pre-Funded Warrant Shares in violation of the Securities Act, and has no direct or indirect arrangement or understanding with any other Person to distribute the Pre-Funded Warrant or Pre-Funded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Accredited Investor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Sophistication</w:t>
      </w:r>
      <w:r>
        <w:rPr>
          <w:rFonts w:ascii="Times New Roman;Times;Serif" w:hAnsi="Times New Roman;Times;Serif"/>
          <w:b w:val="false"/>
          <w:i w:val="false"/>
          <w:caps w:val="false"/>
          <w:smallCaps w:val="false"/>
          <w:sz w:val="20"/>
        </w:rPr>
        <w:t>. WTI is an “accredited investor” as defined in Rule 501(a) of Regulation D promulgated under the Securities Act, and the offer and sale of the Pre-Funded Warrant to WTI is intended to qualify for exemption from registration under Rule 506(b) of Regulation D. WTI has such knowledge and experience in financial and business matters, either alone or together with its representatives, as to be capable of evaluating the merits and risks of an investment in the Pre-Funded Warrant, has had the opportunity to seek such accounting, legal, business and tax advice as it has considered necessary to make an informed decision, and is able to bear the economic risk of an investment in the Pre-Funded Warrant, including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Access to Information</w:t>
      </w:r>
      <w:r>
        <w:rPr>
          <w:rFonts w:ascii="Times New Roman;Times;Serif" w:hAnsi="Times New Roman;Times;Serif"/>
          <w:b w:val="false"/>
          <w:i w:val="false"/>
          <w:caps w:val="false"/>
          <w:smallCaps w:val="false"/>
          <w:sz w:val="20"/>
        </w:rPr>
        <w:t xml:space="preserve">. WTI acknowledges that it has reviewed this Agreement and the other Transaction Documents (including the exhibits and schedules hereto and thereto) and Parent’s SEC Reports (as defined in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hereof), and has had the opportunity to ask questions of, and receive answers from, Parent’s representatives concerning the terms of the issuance of the Pre-Funded Warrant and to obtain such additional information as WTI has deemed necessary to make an informed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Non-Reliance</w:t>
      </w:r>
      <w:r>
        <w:rPr>
          <w:rFonts w:ascii="Times New Roman;Times;Serif" w:hAnsi="Times New Roman;Times;Serif"/>
          <w:b w:val="false"/>
          <w:i w:val="false"/>
          <w:caps w:val="false"/>
          <w:smallCaps w:val="false"/>
          <w:sz w:val="20"/>
        </w:rPr>
        <w:t>. WTI acknowledges that it is not relying upon, and has not relied upon, any statement, representation or warranty made by any Person, other than the representations, warranties, covenants and agreements of Buyer Parties expressly set forth in this Agreement and statements made by Parent in the SEC Reports, in making its decision to accept the Pre-Funded Warrant as part of the consideration for Seller’s agreement to sell the Purchased Assets to Buyer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WTI acknowledges that Buyer Parties make no representation or warranty with respect to the tax treatment of the transactions contemplated by this Agreement, and either or both of WTI and Seller shall be solely responsible for any tax liability arising from WTI’s receipt of the Pre-Funded Warrant and/or from Seller’s sale of the Purchased Assets to Buyer pursuant to, and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Securities Not Registered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Legends</w:t>
      </w:r>
      <w:r>
        <w:rPr>
          <w:rFonts w:ascii="Times New Roman;Times;Serif" w:hAnsi="Times New Roman;Times;Serif"/>
          <w:b w:val="false"/>
          <w:i w:val="false"/>
          <w:caps w:val="false"/>
          <w:smallCaps w:val="false"/>
          <w:sz w:val="20"/>
        </w:rPr>
        <w:t>. WTI acknowledges and agrees that the Pre-Funded Warrant and the Pre-Funded Warrant Shares have not been registered under the Securities Act, by reason of their issuance by Parent in a transaction exempt from the registration requirements of the Securities Act, and that the Pre-Funded Warrant and Pre-Funded Warrant Shares must continue to be held and may not be offered, resold, transferred, pledged or otherwise disposed of by WTI unless a subsequent disposition thereof is registered under the Securities Act or is exempt from such registration, and in each case in accordance with any applicable securities laws of any state of the United States. WTI understands that the exemptions from registration afforded by Rule 144 (the provisions of which are known to it) promulgated under the Securities Act depend on the satisfaction of various conditions, including, but not limited to, the time and manner of sale, the holding period, and requirements relating to Parent which are outside of WTI’s control and which Parent may not be able to satisfy, and that, if applicable, Rule 144 may afford the basis for sales only in limited amounts. WTI acknowledges and agrees that it has been advised to consult legal counsel prior to making any offer, resale, transfer, pledge or disposition of any of the Pre-Funded Warrant or Pre-Funded Warrant Shares. WTI acknowledges that no federal or state agency has passed upon or endorsed the merits of the issuance of the Pre-Funded Warrant or made any findings or determination as to the fairness of this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WTI understands that any certificates or book entry notations evidencing the Pre-Funded Warrant or Pre-Funded Warrant Shares may bear one or more legends in substantially the following form and substance: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Pre-Funded Warrant or Pre-Funded Warrant Shares may contain a legend regarding the affiliate status of WTI,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xml:space="preserve">. To the extent WTI is one of the covered persons identified in Rule 506(d)(1), WTI represents that no Disqualification Event is applicable to WTI or any of its Rule 506(d) Related Parties (as defined below), except, if applicable, for a Disqualification Event as to which Rule 506(d)(2)(ii) or (iii) or (d)(3) is applicable. WTI hereby agrees that it shall notify Buyer promptly in writing in the event a Disqualification Event becomes applicable to WTI or any of its Rule 506(d) Related Parties, except, if applicable, for a Disqualification Event as to which Rule 506(d)(2)(ii) or (iii) or (d)(3) is applicable. For purposes of this </w:t>
      </w:r>
      <w:r>
        <w:rPr>
          <w:rFonts w:ascii="Times New Roman;Times;Serif" w:hAnsi="Times New Roman;Times;Serif"/>
          <w:b w:val="false"/>
          <w:i w:val="false"/>
          <w:caps w:val="false"/>
          <w:smallCaps w:val="false"/>
          <w:sz w:val="20"/>
          <w:u w:val="single"/>
        </w:rPr>
        <w:t>Section 3.10(g)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Rule 506(d) Related Party</w:t>
      </w:r>
      <w:r>
        <w:rPr>
          <w:rFonts w:ascii="Times New Roman;Times;Serif" w:hAnsi="Times New Roman;Times;Serif"/>
          <w:b w:val="false"/>
          <w:i w:val="false"/>
          <w:caps w:val="false"/>
          <w:smallCaps w:val="false"/>
          <w:sz w:val="20"/>
        </w:rPr>
        <w:t>” means a person or entity that is a beneficial owner of WTI’s securities for purposes of Rule 506(d)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3.11         No Other Representations and Warranties</w:t>
      </w:r>
      <w:r>
        <w:rPr>
          <w:rFonts w:ascii="Times New Roman;Times;Serif" w:hAnsi="Times New Roman;Times;Serif"/>
          <w:b w:val="false"/>
          <w:i w:val="false"/>
          <w:caps w:val="false"/>
          <w:smallCaps w:val="false"/>
          <w:sz w:val="20"/>
        </w:rPr>
        <w:t xml:space="preserve">. Except for the representations and warranties contained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neither Seller, WTI nor any other Person has made or makes any other express or implied representation or warranty, either written or oral, on behalf of any Seller Party, including any representation or warranty as to the accuracy or completeness of any information regarding the Purchased Assets furnished or made available to Buyer, Parent and their respective Representatives (including management presentations or in any other form in expectation of the transactions contemplated hereby) or as to the future revenue, profitability or success of the Purchased Assets, or any representation or warranty arising from statute or otherwise in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The BUYER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Buyer Parties, jointly and severally, represent and warrant to the Seller Parties that the statements contained in this </w:t>
      </w: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t xml:space="preserve"> are true and correct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         Organization and Authority of Buyer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is a limited liability company duly organized, validly existing, and in good standing in the State of Delaware. Buyer has full power and authority to enter into this Agreement and the other Transaction Documents to which Buyer is a party, to carry out its obligations hereunder and thereunder, and to consummate the transactions contemplated hereby and thereby to be consummated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a corporation duly incorporated, validly existing, and in good standing in the state of Delaware. Parent has full corporate power and authority to enter into this Agreement and the other Transaction Documents to which Parent is a party, to carry out its obligations hereunder and thereunder, and to consummate the transactions contemplated hereby and thereby to be consummated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and delivery by each of Buyer and Parent of this Agreement and the other Transaction Documents to which such Party is a party, the performance by each of Buyer and Parent of its obligations hereunder and thereunder, and the consummation by each of Buyer and Parent of the transactions contemplated hereby and thereby to be consummated by such Party have been duly authorized by all requisite action on the part of Buyer and Parent, respectively. This Agreement constitutes the legal, valid and binding obligation of each of Buyer and Parent, enforceable against each of them in accordance with its terms. Each of the other Transaction Documents to which either Buyer or Parent is a party constitutes the legal, valid and binding obligation of Buyer or Parent, as applicable, enforceable against Buyer or Parent, as applicable,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4.02          No Conflicts; Consents. </w:t>
      </w:r>
      <w:r>
        <w:rPr>
          <w:rFonts w:ascii="Times New Roman;Times;Serif" w:hAnsi="Times New Roman;Times;Serif"/>
          <w:b w:val="false"/>
          <w:i w:val="false"/>
          <w:caps w:val="false"/>
          <w:smallCaps w:val="false"/>
          <w:sz w:val="20"/>
        </w:rPr>
        <w:t>The execution, delivery, and performance by Buyer and Parent of this Agreement and the other Transaction Documents to which either is a party, and the consummation of the transactions contemplated hereby and thereby, do not and will not: (a) violate or conflict with any provision of the certificate of incorporation, by-laws, or other organizational documents of Buyer or Parent; (b) violate or conflict with any provision of any Law or Governmental Order applicable to Buyer or Parent; (c) require the consent, notice, declaration, or filing with or other action by any Person or require any permit, license, or Governmental Order; (d) violate or conflict with, result in the acceleration of, or create in any Person the right to accelerate, terminate, modify, or cancel any Contract to which Buyer or Parent is a party or by which Buyer or Parent is bound or to which any of their respective assets or properties are subject; or (e) result in the creation or imposition of any Encumbrance on any of the assets of Buyer or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Issuance of the Pre-Funded Warrant</w:t>
      </w:r>
      <w:r>
        <w:rPr>
          <w:rFonts w:ascii="Times New Roman;Times;Serif" w:hAnsi="Times New Roman;Times;Serif"/>
          <w:b w:val="false"/>
          <w:i w:val="false"/>
          <w:caps w:val="false"/>
          <w:smallCaps w:val="false"/>
          <w:sz w:val="20"/>
        </w:rPr>
        <w:t>. The Pre-Funded Warrant, when issued in accordance with the terms of this Agreement, and the Pre-Funded Warrant Shares, when issued in accordance with the terms of the Pre-Funded Warrant, will be validly issued, fully paid and nonassessable, free and clear of all Encumbrances imposed by Parent other than restrictions on transfer provided for in any of the Transaction Documents or under applicable securities laws. Parent has reserved from its duly authorized capital stock the maximum number of shares of Common Stock issuable pursuant to the Pre-Funded Warrant as of the time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         SEC Reports; Financial Statements</w:t>
      </w:r>
      <w:r>
        <w:rPr>
          <w:rFonts w:ascii="Times New Roman;Times;Serif" w:hAnsi="Times New Roman;Times;Serif"/>
          <w:b w:val="false"/>
          <w:i w:val="false"/>
          <w:caps w:val="false"/>
          <w:smallCaps w:val="false"/>
          <w:sz w:val="20"/>
        </w:rPr>
        <w:t>. Parent has filed all reports, schedules, forms, statements and other documents required to be filed by Parent under the Securities Act, and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as amended, including pursuant to Section 13(a) or 15(d) thereof, for the one year preceding the date hereof (or such shorter period as Parent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There are no material outstanding or unresolved comments in comment letters from the staff of the Division of Corporation Finance of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with respect to any of the SEC Reports as of the date hereof. The financial statements of Parent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Parent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4.05         Capitalization of Parent. </w:t>
      </w:r>
      <w:r>
        <w:rPr>
          <w:rFonts w:ascii="Times New Roman;Times;Serif" w:hAnsi="Times New Roman;Times;Serif"/>
          <w:b w:val="false"/>
          <w:i w:val="false"/>
          <w:caps w:val="false"/>
          <w:smallCaps w:val="false"/>
          <w:sz w:val="20"/>
        </w:rPr>
        <w:t>The authorized capital stock of Parent consists of 490,000,000 shares of Common Stock and 10,000,000 shares of preferred stock, par value $0.001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As of the date of this Agreement, there are 107,764,382 shares of Common Stock issued and outstanding, and there is one (1) share of Preferred Stock issued and outstanding, designated as Special Voting Stock of Parent. Except as disclosed in the SEC Reports and except for outstanding securities under Parent’s equity incentive plans (the “</w:t>
      </w:r>
      <w:r>
        <w:rPr>
          <w:rFonts w:ascii="Times New Roman;Times;Serif" w:hAnsi="Times New Roman;Times;Serif"/>
          <w:b/>
          <w:i w:val="false"/>
          <w:caps w:val="false"/>
          <w:smallCaps w:val="false"/>
          <w:sz w:val="20"/>
        </w:rPr>
        <w:t>Stock Plans</w:t>
      </w:r>
      <w:r>
        <w:rPr>
          <w:rFonts w:ascii="Times New Roman;Times;Serif" w:hAnsi="Times New Roman;Times;Serif"/>
          <w:b w:val="false"/>
          <w:i w:val="false"/>
          <w:caps w:val="false"/>
          <w:smallCaps w:val="false"/>
          <w:sz w:val="20"/>
        </w:rPr>
        <w:t>”), as of the date of this Agreement there are no other shares of any class or series of capital stock of Parent issued or outstanding, and there are no outstanding options, warrants or other securities or rights issued by Parent convertible into or exercisable or exchangeable for any shares of capital stock of Parent. None of Parent’s securities were issued in violation of the Securities Act or any other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4.06         Brokers. </w:t>
      </w:r>
      <w:r>
        <w:rPr>
          <w:rFonts w:ascii="Times New Roman;Times;Serif" w:hAnsi="Times New Roman;Times;Serif"/>
          <w:b w:val="false"/>
          <w:i w:val="false"/>
          <w:caps w:val="false"/>
          <w:smallCaps w:val="false"/>
          <w:sz w:val="20"/>
        </w:rPr>
        <w:t>No broker, finder, or investment banker is entitled to any brokerage, finder’s, or other fee or commission in connection with the transactions contemplated by this Agreement or any other Transaction Document based upon arrangements made by or on behalf of Buyer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4.07         Legal Proceedings. </w:t>
      </w:r>
      <w:r>
        <w:rPr>
          <w:rFonts w:ascii="Times New Roman;Times;Serif" w:hAnsi="Times New Roman;Times;Serif"/>
          <w:b w:val="false"/>
          <w:i w:val="false"/>
          <w:caps w:val="false"/>
          <w:smallCaps w:val="false"/>
          <w:sz w:val="20"/>
        </w:rPr>
        <w:t>There are no Actions pending or, to Buyer’s knowledge, threatened against or by Buyer or Parent that challenge or seek to prevent, enjoin, or otherwise delay the transactions contemplated by this Agreement. To Buyer’s knowledge, no event has occurred or circumstances exist that may give rise to, or serve as a basis for,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5.01         Confidentiality. </w:t>
      </w:r>
      <w:r>
        <w:rPr>
          <w:rFonts w:ascii="Times New Roman;Times;Serif" w:hAnsi="Times New Roman;Times;Serif"/>
          <w:b w:val="false"/>
          <w:i w:val="false"/>
          <w:caps w:val="false"/>
          <w:smallCaps w:val="false"/>
          <w:sz w:val="20"/>
        </w:rPr>
        <w:t>From and after the Closing, each of the Parties shall hold, and shall cause its Affiliates (as defined below) to hold, and each of the Parties shall use its reasonable best efforts to cause the respective directors, officers, employees, consultants, counsel, accountants, and other agents of such Party and their respective Affiliates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to hold, in confidence any and all non-public information, whether written or oral, concerning this Agreement or its terms, the transactions contemplated hereunder, and any other non-public information disclosed by any other Party in the context of this Agreement or the transactions contemplated herein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Parties may disclose such Confidential Information to their accountants, counsel or other advisors who need to know such Confidential Information and are otherwise subject to comparable duties of confidentiality with respect to such Confidential Information, and (ii) the Parties may disclose this Agreement, the other Transaction Documents, any of the transactions contemplated hereunder or thereunder, and/or the respective material terms of any of the foregoing, if and to the extent that the execution and delivery of this Agreement and the material terms thereof have been published, publicly announced or publicly disclosed by or on behalf of Parent without breaching or violating the provisions of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The prohibitions and restrictions set forth in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shall not apply to any information that (a) is generally available to and known by the public through no fault of the receiving Party or its Affiliates or Representatives; (b) is lawfully acquired by the disclosing party from a source that is not and was not known by the disclosing party to be prohibited from disclosing such Confidential Information by a legal, contractual, or fiduciary obligation; or (c) is required to be disclosed by Governmental Order or Law;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to the extent reasonably practicable without violating Governmental Order or Law, the receiving Party shall promptly notify the disclosing Party and a reasonable opportunity is afforded to the disclosing Party (at their sole cost) to obtain an appropriate protective order or other reasonable assurance that confidential treatment will be accorded such information. For avoidance of doubt, the obligations of the Parties under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are subject to the provisions of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(i)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 Person means any other Person that directly or indirectly, through one or more intermediaries, controls, is controlled by or is under common control with, such Person; and (ii)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5.02         Public Announcements. </w:t>
      </w:r>
      <w:r>
        <w:rPr>
          <w:rFonts w:ascii="Times New Roman;Times;Serif" w:hAnsi="Times New Roman;Times;Serif"/>
          <w:b w:val="false"/>
          <w:i w:val="false"/>
          <w:caps w:val="false"/>
          <w:smallCaps w:val="false"/>
          <w:sz w:val="20"/>
        </w:rPr>
        <w:t>Unless otherwise required by applicable Law (including the disclosure obligations of Parent as a public reporting company), no party to this Agreement shall make any public announcements in respect of any of the Transaction Documents or the transactions contemplated hereby or thereby without the prior written consent of the other parties to this Agreement (which consent shall not be unreasonably withheld or delayed), and the parties to this Agreement shall cooperate as to the timing and contents of any such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5.03         Bulk Sales Laws. </w:t>
      </w:r>
      <w:r>
        <w:rPr>
          <w:rFonts w:ascii="Times New Roman;Times;Serif" w:hAnsi="Times New Roman;Times;Serif"/>
          <w:b w:val="false"/>
          <w:i w:val="false"/>
          <w:caps w:val="false"/>
          <w:smallCaps w:val="false"/>
          <w:sz w:val="20"/>
        </w:rPr>
        <w:t>The parties to this Agreement hereby waive compliance with the provisions of any bulk sales, bulk transfer, or similar Laws of any jurisdiction that may otherwise be applicable with respect to the sale of any or all of the Purchased Assets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5.04         Pro-Rata Allocation of First Monthly Payment After Closing Under the Purchased Contracts</w:t>
      </w:r>
      <w:r>
        <w:rPr>
          <w:rFonts w:ascii="Times New Roman;Times;Serif" w:hAnsi="Times New Roman;Times;Serif"/>
          <w:b w:val="false"/>
          <w:i w:val="false"/>
          <w:caps w:val="false"/>
          <w:smallCaps w:val="false"/>
          <w:sz w:val="20"/>
        </w:rPr>
        <w:t>. Notwithstanding anything in this Agreement to the contrary, with respect to the monthly payment due and payable under each Purchased Contract for the month of August 2026 (each, an “</w:t>
      </w:r>
      <w:r>
        <w:rPr>
          <w:rFonts w:ascii="Times New Roman;Times;Serif" w:hAnsi="Times New Roman;Times;Serif"/>
          <w:b/>
          <w:i w:val="false"/>
          <w:caps w:val="false"/>
          <w:smallCaps w:val="false"/>
          <w:sz w:val="20"/>
        </w:rPr>
        <w:t>August Monthly Payment</w:t>
      </w:r>
      <w:r>
        <w:rPr>
          <w:rFonts w:ascii="Times New Roman;Times;Serif" w:hAnsi="Times New Roman;Times;Serif"/>
          <w:b w:val="false"/>
          <w:i w:val="false"/>
          <w:caps w:val="false"/>
          <w:smallCaps w:val="false"/>
          <w:sz w:val="20"/>
        </w:rPr>
        <w:t>”), such monthly payment shall be prorated (based on the number of days in the month of August 2026) between Seller and Buyer such that, on the date that an August Monthly Payment is due and payable under the applicable Purchased Contract, (i) Seller shall pay, or cause to be paid, to the applicable counterparty under the Purchased Contracts (each, a “</w:t>
      </w:r>
      <w:r>
        <w:rPr>
          <w:rFonts w:ascii="Times New Roman;Times;Serif" w:hAnsi="Times New Roman;Times;Serif"/>
          <w:b/>
          <w:i w:val="false"/>
          <w:caps w:val="false"/>
          <w:smallCaps w:val="false"/>
          <w:sz w:val="20"/>
        </w:rPr>
        <w:t>Hosting Counterparty</w:t>
      </w:r>
      <w:r>
        <w:rPr>
          <w:rFonts w:ascii="Times New Roman;Times;Serif" w:hAnsi="Times New Roman;Times;Serif"/>
          <w:b w:val="false"/>
          <w:i w:val="false"/>
          <w:caps w:val="false"/>
          <w:smallCaps w:val="false"/>
          <w:sz w:val="20"/>
        </w:rPr>
        <w:t xml:space="preserve">”) an amount in cash equal to (A) the amount of the August Monthly Payment due and payable under such Purchased Contract multiplied by (B) the Seller Pro Rata Share (as defined below) and (ii) Buyer shall pay, or cause to be paid, to the applicable Hosting Counterparties, an amount in cash equal to (x) the amount of the August Monthly Payment due and payable under the applicable Purchased Contract multiplied by (y) the Buyer Pro Rata Share (as defined below). In the event that Seller fails to pay the Seller Pro Rata Share of any August Monthly Payment in accordance with the foregoing provisions of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(such shortfall, the “</w:t>
      </w:r>
      <w:r>
        <w:rPr>
          <w:rFonts w:ascii="Times New Roman;Times;Serif" w:hAnsi="Times New Roman;Times;Serif"/>
          <w:b/>
          <w:i w:val="false"/>
          <w:caps w:val="false"/>
          <w:smallCaps w:val="false"/>
          <w:sz w:val="20"/>
        </w:rPr>
        <w:t>Seller Shortfall Amount</w:t>
      </w:r>
      <w:r>
        <w:rPr>
          <w:rFonts w:ascii="Times New Roman;Times;Serif" w:hAnsi="Times New Roman;Times;Serif"/>
          <w:b w:val="false"/>
          <w:i w:val="false"/>
          <w:caps w:val="false"/>
          <w:smallCaps w:val="false"/>
          <w:sz w:val="20"/>
        </w:rPr>
        <w:t xml:space="preserve">”), then Buyer shall have the right to pay such required Seller Shortfall Amounts to the applicable Hosting Counterparty and Seller shall reimburse Buyer for any such Seller Shortfall Amounts paid by the Buyer in cash, in each case upon written demand therefor by Buyer. Payment by Seller directly to Buyer of any Seller Shortfall Amount pursuant to the provisions of the immediately preceding sentence shall not relieve Seller from any Liability to Buyer on account of any damages, losses or liabilities incurred or suffered by Buyer directly as a result of Seller’s breach of its obligation to make any payment that Seller is required to pay to a Hosting Counterparty pursuant to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Notwithstanding anything to the contrary contained in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in no event shall Seller be liable for any damages, losses or liabilities attributable to Buyer’s failure to pay the Buyer Pro Rata Share of any August Monthly Payment when due. For purposes of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Seller Pro Rata Share</w:t>
      </w:r>
      <w:r>
        <w:rPr>
          <w:rFonts w:ascii="Times New Roman;Times;Serif" w:hAnsi="Times New Roman;Times;Serif"/>
          <w:b w:val="false"/>
          <w:i w:val="false"/>
          <w:caps w:val="false"/>
          <w:smallCaps w:val="false"/>
          <w:sz w:val="20"/>
        </w:rPr>
        <w:t xml:space="preserve">” means the percentage obtained by dividing (a) seventeen (17) by (b) thirty-one. For purposes of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Buyer Pro Rata Share</w:t>
      </w:r>
      <w:r>
        <w:rPr>
          <w:rFonts w:ascii="Times New Roman;Times;Serif" w:hAnsi="Times New Roman;Times;Serif"/>
          <w:b w:val="false"/>
          <w:i w:val="false"/>
          <w:caps w:val="false"/>
          <w:smallCaps w:val="false"/>
          <w:sz w:val="20"/>
        </w:rPr>
        <w:t>” means the percentage obtained by dividing (a) fourteen (14) by (b) thirty-one.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5.05         Transfer Taxes. </w:t>
      </w:r>
      <w:r>
        <w:rPr>
          <w:rFonts w:ascii="Times New Roman;Times;Serif" w:hAnsi="Times New Roman;Times;Serif"/>
          <w:b w:val="false"/>
          <w:i w:val="false"/>
          <w:caps w:val="false"/>
          <w:smallCaps w:val="false"/>
          <w:sz w:val="20"/>
        </w:rPr>
        <w:t>Notwithstanding anything to the contrary in this Agreement, each of Seller and Buyer will pay fifty percent (50%) of any transfer taxes and fees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and any deficiency, interest or penalty asserted with respect thereto, arising out of the sale of the Purchased Assets to the Buyer pursuant to this Agreement. The Party required to file any Tax return or other document required to be filed with respect to any such Transfer Taxes pursuant to applicable Law will timely file or cause to be filed such Tax return or such other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5.06          Further Assurances. </w:t>
      </w:r>
      <w:r>
        <w:rPr>
          <w:rFonts w:ascii="Times New Roman;Times;Serif" w:hAnsi="Times New Roman;Times;Serif"/>
          <w:b w:val="false"/>
          <w:i w:val="false"/>
          <w:caps w:val="false"/>
          <w:smallCaps w:val="false"/>
          <w:sz w:val="20"/>
        </w:rPr>
        <w:t>Following the Closing, each of the parties hereto shall, and shall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5.07         Wrong Pockets. </w:t>
      </w:r>
      <w:r>
        <w:rPr>
          <w:rFonts w:ascii="Times New Roman;Times;Serif" w:hAnsi="Times New Roman;Times;Serif"/>
          <w:b w:val="false"/>
          <w:i w:val="false"/>
          <w:caps w:val="false"/>
          <w:smallCaps w:val="false"/>
          <w:sz w:val="20"/>
        </w:rPr>
        <w:t>If, following the Closing either Buyer or Seller becomes aware that any of the Purchased Assets have not been transferred to Buyer or that any of the Excluded Assets have been transferred to Buyer, it shall promptly notify the other and the Parties shall, as soon as reasonably practicable thereafter, ensure that such property is transferred, at the expense of the party that is seeking the assets to be transferred to it, to (a) Buyer, in the case of any Purchased Assets that were not transferred to Buyer at or in connection with the Closing, or (b) Seller, in the case of any Excluded Assets which were transferred to Buyer at the Closing. In the event that, at any time or from time to time after the Closing, Seller or any of its Affiliates receives any cryptocurrency that is mined at any time after the Closing Date using the Mining Equipment, Seller shall promptly deliver or transfer, or cause to be promptly delivered or transferred, such cryptocurrency to Buyer or to an account designated in writing by the Buyer. In the event that, at any time or from time to time on or after the Closing Date, Buyer or any of its Affiliates receives any cryptocurrency that has been mined on or prior to the Closing Date using the Mining Equipment, Buyer shall promptly deliver or transfer, or cause to be promptly delivered or transferred, such cryptocurrency to Seller or to an account designated in writing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5.08         Access to Information. </w:t>
      </w:r>
      <w:r>
        <w:rPr>
          <w:rFonts w:ascii="Times New Roman;Times;Serif" w:hAnsi="Times New Roman;Times;Serif"/>
          <w:b w:val="false"/>
          <w:i w:val="false"/>
          <w:caps w:val="false"/>
          <w:smallCaps w:val="false"/>
          <w:sz w:val="20"/>
        </w:rPr>
        <w:t xml:space="preserve">Until the applicable statutes of limitations (including any extensions) have expired for all Tax periods or portions thereof ending on or before the Closing Date, Buyer and Seller shall, to the extent related to the Purchased Assets or Assumed Liabilities, (a) each provide the other with such assistance as may reasonably be requested by any of them in connection with any Tax, accounting or other financial reporting or services, including the preparation of any Tax return or any tax audit or proceeding, (b) each retain and provide the other with any records or other information that may be relevant to any such Tax, accounting or other financial reporting or services, including relating to any such Tax return or tax audit or proceeding, and (c) each provide the other with any final determination of any such tax claim that affects any amount required to be shown on any Tax return of the other for any period. Buyer agrees to provide Seller reasonable access during normal business hours to the books and records then in the possession of Buyer that relate to the Purchased Assets with respect to periods prior to the Closing Date solely for the purpose of responding to any claims made against Seller or WTI by any Person who is not a party to this Agreement with respect to Excluded Liabilities to the extent that such documents are relevant to such claim and would not result in the loss of privilege or the sharing of competitively sensitive information and for the purposes of preparation of any Tax returns by Seller after the Closing and to any audit by the Internal Revenue Service or any other authority to the extent that such documents are relevant for such purposes, in all cases at Seller’s expense. Each of Seller and WTI agrees to provide Buyer reasonable access during normal business hours to the documents and records not included in the Purchased Assets then in the possession of Seller, WTI or any of their respective Affiliates that relate to periods prior to the Closing Date solely for the purpose of responding to any claims made against Buyer or Parent by any Person who is not a party to this Agreement with respect to the Purchased Assets, the Assumed Liabilities, the Excluded Assets or the Excluded Liabilities to the extent that such documents are relevant to such claim or for any other reasonable purpose relating to Buyer’s operation of the Purchased Assets after the date hereof and would not result in the loss of privilege or the sharing of competitively sensitive information, in all cases at Buyer’s expense. Any information provided to any Seller Party or Buyer Party pursuant to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shall in all cases be subject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(except if and to the extent that the provisions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conflict with the provisions of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in which case the provisions of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shall control solely to the extent necessary to implement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and the parties intent and agreement under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For the avoidance of doubt, neither Seller nor WTI shall have access to, or a right to review of, any Tax return of Buyer (or its Affiliates) that does not relate exclusively to the Purchased Assets and Assumed Liabilities. WTI shall cause Seller to comply with and perform all of the provisions of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that are applicable to Seller. Parent shall cause Buyer to comply with and perform all of the provisions of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that are applicable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5.09         [Reserved.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5.10         Parent Covenant Regarding Stockholder Proposals</w:t>
      </w:r>
      <w:r>
        <w:rPr>
          <w:rFonts w:ascii="Times New Roman;Times;Serif" w:hAnsi="Times New Roman;Times;Serif"/>
          <w:b w:val="false"/>
          <w:i w:val="false"/>
          <w:caps w:val="false"/>
          <w:smallCaps w:val="false"/>
          <w:sz w:val="20"/>
        </w:rPr>
        <w:t xml:space="preserve">. Subject to and upon the terms and conditions set forth in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Parent shall use commercially reasonable efforts to obtain approval of, and effect, the Stockholder Proposals (as defined below). Parent shall seek stockholder approval of the Stockholder Proposals at the next annual meeting of Parent’s stockholders, with the recommendation of Parent’s board of directors that the Stockholder Proposals be approved, and Parent shall solicit proxies from its stockholders in connection therewith in the same manner as all other management proposals in the applicable proxy statement, and all management-appointed proxyholders shall vote their proxies in favor of the Stockholder Proposals. If the Stockholder Proposals are not approved at such annual meeting of Parent’s stockholders, Parent shall thereafter use commercially reasonable efforts to promptly obtain approval of, and effect, the Stockholder Proposals, including by seeking such approval at the next-occurring annual meeting of Parent’s stockholders until the Stockholder Proposals are approved. For clarity, the Parties hereby expressly acknowledge and agree that Parent shall not have any obligation to call and hold any special meeting of Parent’s stockholders for purposes of seeking or obtaining stockholder approval of the Stockholder Proposals. For purposes of this Agreement, “</w:t>
      </w:r>
      <w:r>
        <w:rPr>
          <w:rFonts w:ascii="Times New Roman;Times;Serif" w:hAnsi="Times New Roman;Times;Serif"/>
          <w:b/>
          <w:i w:val="false"/>
          <w:caps w:val="false"/>
          <w:smallCaps w:val="false"/>
          <w:sz w:val="20"/>
        </w:rPr>
        <w:t>Stockholder Proposals</w:t>
      </w:r>
      <w:r>
        <w:rPr>
          <w:rFonts w:ascii="Times New Roman;Times;Serif" w:hAnsi="Times New Roman;Times;Serif"/>
          <w:b w:val="false"/>
          <w:i w:val="false"/>
          <w:caps w:val="false"/>
          <w:smallCaps w:val="false"/>
          <w:sz w:val="20"/>
        </w:rPr>
        <w:t>” means such proposal or proposals as may be necessary to obtain any and all stockholder approvals required under Nasdaq Listing Rule 5635(a), Nasdaq Listing Rule 5635(b), and/or Nasdaq Listing Rule 5635(d), to the extent any of the foregoing is or becomes applicable, in order to permit the issuance of any and all Pre-Funded Warrant Shares upon exercise of the Pre-Funded Warrant without violation of any such Nasdaq Listing Rule that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5.11         WTI Covenant to Vote for Stockholder Proposals; Voting Proxy</w:t>
      </w:r>
      <w:r>
        <w:rPr>
          <w:rFonts w:ascii="Times New Roman;Times;Serif" w:hAnsi="Times New Roman;Times;Serif"/>
          <w:b w:val="false"/>
          <w:i w:val="false"/>
          <w:caps w:val="false"/>
          <w:smallCaps w:val="false"/>
          <w:sz w:val="20"/>
        </w:rPr>
        <w:t xml:space="preserve">. At any annual meeting of Parent’s stockholders referred to in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and at every adjournment or postponement thereof, WTI agrees that it shall participate and vote all voting securities of Parent held by it, or over which it exercises voting power (other than any Pre-Funded Warrant Shares which are not entitled to vote on the Stockholder Proposals pursuant to Section 2(f) of the Pre-Funded Warrant and applicable Nasdaq Listing Rules), to approve the Stockholder Proposals. Any such vote shall be cast by WTI in accordance with such procedures as shall ensure that it is duly counted, including for purposes of determining that a quorum is present and for purposes of recording the results of such vote or consent. WTI hereby constitutes and appoints as its proxies, and hereby grants a power of attorney to the Chief Executive Officer of Parent, with full power of substitution, with respect to the Stockholder Proposals, and hereby authorizes the Chief Executive Officer of Parent to represent and vote, if and only if WTI (i) fails to vote, or (ii) attempts to vote (whether by proxy, in person, or otherwise) in a manner inconsistent with the terms of this Section 5.11, all of WTI’s voting securities of Parent (other than any Pre-Funded Warrant Shares) in favor of the Stockholder Proposals, or to take any action reasonably necessary to effect the intent of this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The proxy and power of attorney granted pursuant to this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is given in consideration of the agreements and covenants of the Parties in connection with the transactions contemplated by this Agreement and, as such, is coupled with an interest and shall be irrevocable until this Agreement terminates. WTI hereby revokes any and all previous proxies or powers of attorney with respect to such voting securities and shall not purport to grant any other proxy or power of attorney with respect to any such voting securities, deposit any such voting securities into a voting trust, or enter into any agreement, arrangement, or understanding with any Person to vote, grant any proxy, or give voting instructions with respect to any such voting securities, in each case with respect to the Stockholder Proposals if any such action by WTI would be inconsistent with its agreements or obligations under this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6.01         Survival. </w:t>
      </w:r>
      <w:r>
        <w:rPr>
          <w:rFonts w:ascii="Times New Roman;Times;Serif" w:hAnsi="Times New Roman;Times;Serif"/>
          <w:b w:val="false"/>
          <w:i w:val="false"/>
          <w:caps w:val="false"/>
          <w:smallCaps w:val="false"/>
          <w:sz w:val="20"/>
        </w:rPr>
        <w:t xml:space="preserve">The representations and warranties contained herein shall survive the Closing for a period of twelve (12) months from the Closing Date, except that (a) the representations and warranties set forth in </w:t>
      </w:r>
      <w:r>
        <w:rPr>
          <w:rFonts w:ascii="Times New Roman;Times;Serif" w:hAnsi="Times New Roman;Times;Serif"/>
          <w:b w:val="false"/>
          <w:i w:val="false"/>
          <w:caps w:val="false"/>
          <w:smallCaps w:val="false"/>
          <w:sz w:val="20"/>
          <w:u w:val="single"/>
        </w:rPr>
        <w:t>Sections 3.01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3.09</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Seller Fundamental Representations</w:t>
      </w:r>
      <w:r>
        <w:rPr>
          <w:rFonts w:ascii="Times New Roman;Times;Serif" w:hAnsi="Times New Roman;Times;Serif"/>
          <w:b w:val="false"/>
          <w:i w:val="false"/>
          <w:caps w:val="false"/>
          <w:smallCaps w:val="false"/>
          <w:sz w:val="20"/>
        </w:rPr>
        <w:t xml:space="preserve">”) shall survive until the expiration of the applicable statute of limitations, (b) the representations and warranties set forth in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(together with the Seller Fundamental Representations, the “</w:t>
      </w:r>
      <w:r>
        <w:rPr>
          <w:rFonts w:ascii="Times New Roman;Times;Serif" w:hAnsi="Times New Roman;Times;Serif"/>
          <w:b/>
          <w:i w:val="false"/>
          <w:caps w:val="false"/>
          <w:smallCaps w:val="false"/>
          <w:sz w:val="20"/>
        </w:rPr>
        <w:t>Seller Specified Representations</w:t>
      </w:r>
      <w:r>
        <w:rPr>
          <w:rFonts w:ascii="Times New Roman;Times;Serif" w:hAnsi="Times New Roman;Times;Serif"/>
          <w:b w:val="false"/>
          <w:i w:val="false"/>
          <w:caps w:val="false"/>
          <w:smallCaps w:val="false"/>
          <w:sz w:val="20"/>
        </w:rPr>
        <w:t xml:space="preserve">”) shall survive under the expiration of the applicable statute of limitations, and (c) the representations and warranties set forth in </w:t>
      </w:r>
      <w:r>
        <w:rPr>
          <w:rFonts w:ascii="Times New Roman;Times;Serif" w:hAnsi="Times New Roman;Times;Serif"/>
          <w:b w:val="false"/>
          <w:i w:val="false"/>
          <w:caps w:val="false"/>
          <w:smallCaps w:val="false"/>
          <w:sz w:val="20"/>
          <w:u w:val="single"/>
        </w:rPr>
        <w:t>Sections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4.06</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Buyer Fundamental Representations</w:t>
      </w:r>
      <w:r>
        <w:rPr>
          <w:rFonts w:ascii="Times New Roman;Times;Serif" w:hAnsi="Times New Roman;Times;Serif"/>
          <w:b w:val="false"/>
          <w:i w:val="false"/>
          <w:caps w:val="false"/>
          <w:smallCaps w:val="false"/>
          <w:sz w:val="20"/>
        </w:rPr>
        <w:t xml:space="preserve">”) shall survive until the expiration of the applicable statute of limitations. None of the covenants or other agreements contained in this Agreement shall survive the Closing other than those which by their terms contemplate performance after the Closing (including, without limitation, the covenants and agreements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in either of </w:t>
      </w:r>
      <w:r>
        <w:rPr>
          <w:rFonts w:ascii="Times New Roman;Times;Serif" w:hAnsi="Times New Roman;Times;Serif"/>
          <w:b w:val="false"/>
          <w:i w:val="false"/>
          <w:caps w:val="false"/>
          <w:smallCaps w:val="false"/>
          <w:sz w:val="20"/>
          <w:u w:val="single"/>
        </w:rPr>
        <w:t>Articles V and VII hereof</w:t>
      </w:r>
      <w:r>
        <w:rPr>
          <w:rFonts w:ascii="Times New Roman;Times;Serif" w:hAnsi="Times New Roman;Times;Serif"/>
          <w:b w:val="false"/>
          <w:i w:val="false"/>
          <w:caps w:val="false"/>
          <w:smallCaps w:val="false"/>
          <w:sz w:val="20"/>
        </w:rPr>
        <w:t xml:space="preserve">), and each such surviving covenant and agreement shall survive the Closing for the period contemplated by their terms or until fully performed. For clarity, and notwithstanding anything to the contrary in the foregoing provisions of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any right or remedy that any party may have as a result of any breach of any covenant or agreement to be performed at or prior to the Closing shall survive the Closing until the expiration of the statute of limitations applicable to such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         Indemnification by the Seller Parties</w:t>
      </w:r>
      <w:r>
        <w:rPr>
          <w:rFonts w:ascii="Times New Roman;Times;Serif" w:hAnsi="Times New Roman;Times;Serif"/>
          <w:b w:val="false"/>
          <w:i w:val="false"/>
          <w:caps w:val="false"/>
          <w:smallCaps w:val="false"/>
          <w:sz w:val="20"/>
        </w:rPr>
        <w:t xml:space="preserve">. Subject to the other terms and conditions of this </w:t>
      </w: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 from and after Closing, the Seller Parties, jointly and severally, shall indemnify and defend the Buyer Parties and their respective Affiliates and Representatives (collectively, the “</w:t>
      </w:r>
      <w:r>
        <w:rPr>
          <w:rFonts w:ascii="Times New Roman;Times;Serif" w:hAnsi="Times New Roman;Times;Serif"/>
          <w:b/>
          <w:i w:val="false"/>
          <w:caps w:val="false"/>
          <w:smallCaps w:val="false"/>
          <w:sz w:val="20"/>
        </w:rPr>
        <w:t>Buyer Indemnitees</w:t>
      </w:r>
      <w:r>
        <w:rPr>
          <w:rFonts w:ascii="Times New Roman;Times;Serif" w:hAnsi="Times New Roman;Times;Serif"/>
          <w:b w:val="false"/>
          <w:i w:val="false"/>
          <w:caps w:val="false"/>
          <w:smallCaps w:val="false"/>
          <w:sz w:val="20"/>
        </w:rPr>
        <w:t>”) against, and shall hold each of them harmless from and against, any and all losses, damages, liabilities, deficiencies, Actions, judgments, interest, awards, penalties, fines, costs, or expenses of whatever kind, including reasonable attorneys’ fees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incurred or sustained by, or imposed upon, the Buyer Indemnitees to the extent such Losses are based upon, arise out of, or are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inaccuracy in or breach of any of the representations or warranties of either of the Seller Parties contained in this Agreement or any certificate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or non-fulfillment of any covenant, agreement, or obligation to be performed by either of the Seller Parties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Excluded Asset or any Excluded Liability;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Liability arising out of the ownership or operation of the Purchased Assets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6.03         Indemnification by Buyer Parties</w:t>
      </w:r>
      <w:r>
        <w:rPr>
          <w:rFonts w:ascii="Times New Roman;Times;Serif" w:hAnsi="Times New Roman;Times;Serif"/>
          <w:b w:val="false"/>
          <w:i w:val="false"/>
          <w:caps w:val="false"/>
          <w:smallCaps w:val="false"/>
          <w:sz w:val="20"/>
        </w:rPr>
        <w:t xml:space="preserve">. Subject to the other terms and conditions of this </w:t>
      </w: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 from and after Closing, the Buyer Parties, jointly and severally, shall indemnify and defend the Seller Parties and their respective Affiliates and Representatives (collectively, the “</w:t>
      </w:r>
      <w:r>
        <w:rPr>
          <w:rFonts w:ascii="Times New Roman;Times;Serif" w:hAnsi="Times New Roman;Times;Serif"/>
          <w:b/>
          <w:i w:val="false"/>
          <w:caps w:val="false"/>
          <w:smallCaps w:val="false"/>
          <w:sz w:val="20"/>
        </w:rPr>
        <w:t>Seller Indemnitees</w:t>
      </w:r>
      <w:r>
        <w:rPr>
          <w:rFonts w:ascii="Times New Roman;Times;Serif" w:hAnsi="Times New Roman;Times;Serif"/>
          <w:b w:val="false"/>
          <w:i w:val="false"/>
          <w:caps w:val="false"/>
          <w:smallCaps w:val="false"/>
          <w:sz w:val="20"/>
        </w:rPr>
        <w:t>”) against, and shall hold each of them harmless from and against, any and all Losses incurred or sustained by, or imposed upon, the Seller Indemnitees to the extent such Losses are based upon, arise out of, or are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inaccuracy in or breach of any of the representations or warranties of either of the Buyer Parties contained in this Agreement or any certificate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or non-fulfillment of any covenant, agreement, or obligation to be performed by either of the Buyer Parties pursuant to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Assumed Liability;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Liability arising out of the ownership or operation of the Purchased Assets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6.04         Indemnification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any claim shall arise for indemnification hereunder (an “</w:t>
      </w:r>
      <w:r>
        <w:rPr>
          <w:rFonts w:ascii="Times New Roman;Times;Serif" w:hAnsi="Times New Roman;Times;Serif"/>
          <w:b/>
          <w:i w:val="false"/>
          <w:caps w:val="false"/>
          <w:smallCaps w:val="false"/>
          <w:sz w:val="20"/>
        </w:rPr>
        <w:t>Indemnification Claim</w:t>
      </w:r>
      <w:r>
        <w:rPr>
          <w:rFonts w:ascii="Times New Roman;Times;Serif" w:hAnsi="Times New Roman;Times;Serif"/>
          <w:b w:val="false"/>
          <w:i w:val="false"/>
          <w:caps w:val="false"/>
          <w:smallCaps w:val="false"/>
          <w:sz w:val="20"/>
        </w:rPr>
        <w:t xml:space="preserve">”), the party entitled to indemnification under this </w:t>
      </w: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shall promptly provide written notice of such Indemnification Claim to the party from whom indemnification is being sought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Such notice by the Indemnified Party shall describe the Indemnification Claim in reasonable detail, shall include copies of all material written evidence thereof and shall indicate the estimated amount, if reasonably practicable, of the Loss that has been or may be sustained by the Indemnified Party. In connection with any Indemnification Claim hereunder resulting from or arising out of any Action by a Person who is not a party to this Agreement (a “</w:t>
      </w:r>
      <w:r>
        <w:rPr>
          <w:rFonts w:ascii="Times New Roman;Times;Serif" w:hAnsi="Times New Roman;Times;Serif"/>
          <w:b/>
          <w:i w:val="false"/>
          <w:caps w:val="false"/>
          <w:smallCaps w:val="false"/>
          <w:sz w:val="20"/>
        </w:rPr>
        <w:t>Third-Party Claim</w:t>
      </w:r>
      <w:r>
        <w:rPr>
          <w:rFonts w:ascii="Times New Roman;Times;Serif" w:hAnsi="Times New Roman;Times;Serif"/>
          <w:b w:val="false"/>
          <w:i w:val="false"/>
          <w:caps w:val="false"/>
          <w:smallCaps w:val="false"/>
          <w:sz w:val="20"/>
        </w:rPr>
        <w:t xml:space="preserve">”), the Indemnifying Party, at its sole cost and expense and upon written notice to the Indemnified Party, may assume the defense of any such Third-Party Claim with counsel reasonably satisfactory to the Indemnified Party. The Indemnified Party shall be entitled to participate in the defense of any such Third-Party Claim, with its counsel and at its own cost and expense, subject to the Indemnifying Party’s right to control the defense thereof. If the Indemnifying Party does not assume the defense of any such Third-Party Claim, the Indemnified Party may, but shall not be obligated to, defend against such Third-Party Claim in such manner as it may deem appropriate, including settling such Third-Party Claim on such terms as the Indemnified Party may deem appropriate and no action taken by the Indemnified Party in accordance with such defense and settlement shall relieve the Indemnifying Party of its indemnification obligations herein provided with respect to any Losses resulting therefrom. Seller and Buyer shall cooperate with each other in all reasonable respects in connection with the defense of any Third-Party Claim, including: (i) making available (subject to the provisions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records relating to such claim; and (ii) furnishing, without expense (other than reimbursement of actual out-of-pocket expenses) to the defending party, management employees of the non-defending party as may be reasonably necessary for the preparation of the defense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 other provision of this Agreement, the Indemnifying Party shall not enter into settlement of any Third-Party Claim without the prior written consent of the Indemnified Party (which consent shall not be unreasonably withheld, conditioned or delayed), except as provided in this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If a firm offer is made to settle a Third-Party Claim without leading to Liability or the creation of a financial or other obligation on the part of the Indemnified Party and without requiring the Indemnified Party to admit or otherwise accept that the Indemnified Party engaged in any wrongdoing and provides, in customary form, for the unconditional release of each Indemnified Party from all Liabilities and obligations in connection with such Third-Party Claim (any such firm offer being hereinafter referred to as a “</w:t>
      </w:r>
      <w:r>
        <w:rPr>
          <w:rFonts w:ascii="Times New Roman;Times;Serif" w:hAnsi="Times New Roman;Times;Serif"/>
          <w:b w:val="false"/>
          <w:i w:val="false"/>
          <w:caps w:val="false"/>
          <w:smallCaps w:val="false"/>
          <w:sz w:val="20"/>
          <w:u w:val="single"/>
        </w:rPr>
        <w:t>Qualified Settlement Offer</w:t>
      </w:r>
      <w:r>
        <w:rPr>
          <w:rFonts w:ascii="Times New Roman;Times;Serif" w:hAnsi="Times New Roman;Times;Serif"/>
          <w:b w:val="false"/>
          <w:i w:val="false"/>
          <w:caps w:val="false"/>
          <w:smallCaps w:val="false"/>
          <w:sz w:val="20"/>
        </w:rPr>
        <w:t>”) and the Indemnifying Party desires to accept and agree to such Qualified Settlement Offer, the Indemnifying Party shall give written notice to that effect to the Indemnified Party. If the Indemnified Party fails to consent to such Qualified Settlement Offer within thirty (30) days after its receipt of such notice, the Indemnified Party may continue to contest or defend such Third-Party Claim (and shall have the right to settle such Third Party Claim), and, in any such event, the maximum liability of the Indemnifying Party as to such Third-Party Claim shall not exceed the amount of such Qualified Settlement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claim by an Indemnified Party on account of a Loss which does not result from a Third-Party Claim (a “</w:t>
      </w:r>
      <w:r>
        <w:rPr>
          <w:rFonts w:ascii="Times New Roman;Times;Serif" w:hAnsi="Times New Roman;Times;Serif"/>
          <w:b/>
          <w:i w:val="false"/>
          <w:caps w:val="false"/>
          <w:smallCaps w:val="false"/>
          <w:sz w:val="20"/>
        </w:rPr>
        <w:t>Direct Claim</w:t>
      </w:r>
      <w:r>
        <w:rPr>
          <w:rFonts w:ascii="Times New Roman;Times;Serif" w:hAnsi="Times New Roman;Times;Serif"/>
          <w:b w:val="false"/>
          <w:i w:val="false"/>
          <w:caps w:val="false"/>
          <w:smallCaps w:val="false"/>
          <w:sz w:val="20"/>
        </w:rPr>
        <w:t>”) shall be asserted by the Indemnified Party giving the Indemnifying Party prompt written notice thereof.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If the Indemnifying Party does not so respond within such thirty (30)-day period, the Indemnifying Party shall be deemed to have rejected such claim, in which case the Indemnified Party shall be free to pursue such remedies as may be available to the Indemnified Party on the terms and subject to the provisions of this Agreement. If the Indemnifying Party does so respond within such thirty (30)-day period denying or rejecting such claim (a “</w:t>
      </w: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 then the Indemnifying Party and the Indemnified Party will attempt to resolve such dispute in good faith; provided, however, if they are unable to agree on the Direct Claim within thirty (30) days following the Indemnifying Party’s delivery of a Dispute Notice, then the Indemnified Party shall be free to pursue such remedies as may be available to the Indemnified Party on the terms and subject to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6.05         Limitations on Indemnification. </w:t>
      </w:r>
      <w:r>
        <w:rPr>
          <w:rFonts w:ascii="Times New Roman;Times;Serif" w:hAnsi="Times New Roman;Times;Serif"/>
          <w:b w:val="false"/>
          <w:i w:val="false"/>
          <w:caps w:val="false"/>
          <w:smallCaps w:val="false"/>
          <w:sz w:val="20"/>
        </w:rPr>
        <w:t xml:space="preserve">Notwithstanding anything to the contrary set forth in this Agreement, the indemnification provided for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be subject to the following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Indemnifying Party shall not be liable to the Indemnified Party for indemnification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as applicable (other than in respect of a breach of any of the Seller Specified Representations or the Buyer Fundamental Representations, as applicable, as to which the provisions of this </w:t>
      </w:r>
      <w:r>
        <w:rPr>
          <w:rFonts w:ascii="Times New Roman;Times;Serif" w:hAnsi="Times New Roman;Times;Serif"/>
          <w:b w:val="false"/>
          <w:i w:val="false"/>
          <w:caps w:val="false"/>
          <w:smallCaps w:val="false"/>
          <w:sz w:val="20"/>
          <w:u w:val="single"/>
        </w:rPr>
        <w:t>Section 6.05(a)</w:t>
      </w:r>
      <w:r>
        <w:rPr>
          <w:rFonts w:ascii="Times New Roman;Times;Serif" w:hAnsi="Times New Roman;Times;Serif"/>
          <w:b w:val="false"/>
          <w:i w:val="false"/>
          <w:caps w:val="false"/>
          <w:smallCaps w:val="false"/>
          <w:sz w:val="20"/>
        </w:rPr>
        <w:t xml:space="preserve"> shall not be applicable), until the aggregate amount of all Losses in respect of indemnification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as applicable, exceeds $333,333 (the “</w:t>
      </w:r>
      <w:r>
        <w:rPr>
          <w:rFonts w:ascii="Times New Roman;Times;Serif" w:hAnsi="Times New Roman;Times;Serif"/>
          <w:b/>
          <w:i w:val="false"/>
          <w:caps w:val="false"/>
          <w:smallCaps w:val="false"/>
          <w:sz w:val="20"/>
        </w:rPr>
        <w:t>Deductible</w:t>
      </w:r>
      <w:r>
        <w:rPr>
          <w:rFonts w:ascii="Times New Roman;Times;Serif" w:hAnsi="Times New Roman;Times;Serif"/>
          <w:b w:val="false"/>
          <w:i w:val="false"/>
          <w:caps w:val="false"/>
          <w:smallCaps w:val="false"/>
          <w:sz w:val="20"/>
        </w:rPr>
        <w:t>”), in which event the Indemnifying Party shall only be liable for the amount of such Losses in excess of the 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amount of all Losses for which an Indemnifying Party will be liable (i)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as applicable (other than in respect of a breach of any of the Seller Specified Representations or the Buyer Fundamental Representations, as applicable, as to which the provisions of this clause (i) of this </w:t>
      </w:r>
      <w:r>
        <w:rPr>
          <w:rFonts w:ascii="Times New Roman;Times;Serif" w:hAnsi="Times New Roman;Times;Serif"/>
          <w:b w:val="false"/>
          <w:i w:val="false"/>
          <w:caps w:val="false"/>
          <w:smallCaps w:val="false"/>
          <w:sz w:val="20"/>
          <w:u w:val="single"/>
        </w:rPr>
        <w:t>Section 6.05(b)</w:t>
      </w:r>
      <w:r>
        <w:rPr>
          <w:rFonts w:ascii="Times New Roman;Times;Serif" w:hAnsi="Times New Roman;Times;Serif"/>
          <w:b w:val="false"/>
          <w:i w:val="false"/>
          <w:caps w:val="false"/>
          <w:smallCaps w:val="false"/>
          <w:sz w:val="20"/>
        </w:rPr>
        <w:t xml:space="preserve"> shall not be applicable), shall not exceed $3,333,333 and (ii)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as applicable, in respect of a breach of any of the Seller Specified Representations or the Buyer Fundamental Representations, as applicable, and/or pursuant to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6.03(b)</w:t>
      </w:r>
      <w:r>
        <w:rPr>
          <w:rFonts w:ascii="Times New Roman;Times;Serif" w:hAnsi="Times New Roman;Times;Serif"/>
          <w:b w:val="false"/>
          <w:i w:val="false"/>
          <w:caps w:val="false"/>
          <w:smallCaps w:val="false"/>
          <w:sz w:val="20"/>
        </w:rPr>
        <w:t>, as applicable, shall not exceed an amount equal to the Aggregate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no event shall any Indemnifying Party be liable to any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 For clarity, nothing in the foregoing provisions of this </w:t>
      </w:r>
      <w:r>
        <w:rPr>
          <w:rFonts w:ascii="Times New Roman;Times;Serif" w:hAnsi="Times New Roman;Times;Serif"/>
          <w:b w:val="false"/>
          <w:i w:val="false"/>
          <w:caps w:val="false"/>
          <w:smallCaps w:val="false"/>
          <w:sz w:val="20"/>
          <w:u w:val="single"/>
        </w:rPr>
        <w:t>Section 6.05(c)</w:t>
      </w:r>
      <w:r>
        <w:rPr>
          <w:rFonts w:ascii="Times New Roman;Times;Serif" w:hAnsi="Times New Roman;Times;Serif"/>
          <w:b w:val="false"/>
          <w:i w:val="false"/>
          <w:caps w:val="false"/>
          <w:smallCaps w:val="false"/>
          <w:sz w:val="20"/>
        </w:rPr>
        <w:t xml:space="preserve"> shall limit the obligation of any Indemnifying Party to indemnify any Indemnified Party in connection with any amounts that such Indemnified Party may have paid or is required or may be required to pay to a third party in connection with any matter for which such Indemnified Party is entitled to seek indemnification from such Indemnifying Party pursuant to the other provisions of this </w:t>
      </w: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Payments by an Indemnifying Party pursuant to this </w:t>
      </w: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 xml:space="preserve"> in respect of any Loss shall be limited to the amount of any liability or damage that remains after deducting therefrom any insurance proceeds and any indemnity, contribution or other similar payment received or reasonably expected to be received by the Indemnified Party in respect of any such claim. The Indemnified Party shall use its commercially reasonable efforts to recover under insurance policies or indemnity, contribution or other similar agreements for any Losses prior to seeking indemnification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6.06         Recourse</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 xml:space="preserve"> (including, without limitation,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in the event that a Buyer Indemnitee is entitled to indemnification pursuant to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such Buyer Indemnitee’s sole recourse will be (i)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reduce the Pre-Funded Warrant Shares underlying the Pre-Funded Warrant in accordance with the terms of the Pre-Funded Warrant and this Agreement, in each case up to the number of Pre-Funded Warrant Shares then remaining unexercised and available for reduction, and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if after exercising such Buyer Indemnitee’s rights under the foregoing clause (i), there remain indemnifiable Losses that have not been satisfied pursuant to the provisions of such clause (i) (such remaining indemnifiable Losses, “</w:t>
      </w:r>
      <w:r>
        <w:rPr>
          <w:rFonts w:ascii="Times New Roman;Times;Serif" w:hAnsi="Times New Roman;Times;Serif"/>
          <w:b/>
          <w:i w:val="false"/>
          <w:caps w:val="false"/>
          <w:smallCaps w:val="false"/>
          <w:sz w:val="20"/>
        </w:rPr>
        <w:t>Excess Losses</w:t>
      </w:r>
      <w:r>
        <w:rPr>
          <w:rFonts w:ascii="Times New Roman;Times;Serif" w:hAnsi="Times New Roman;Times;Serif"/>
          <w:b w:val="false"/>
          <w:i w:val="false"/>
          <w:caps w:val="false"/>
          <w:smallCaps w:val="false"/>
          <w:sz w:val="20"/>
        </w:rPr>
        <w:t xml:space="preserve">”), such Buyer Indemnitee shall be free to pursue such remedies as may be available to such Buyer Indemnitee on the terms and subject to the provisions of this Agreement in order to recover and satisfy such Excess Losses (including, without limitation, asserting and commencing any action, suit or proceeding against the Seller Parties in their personal capacities in accordance with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in order to obtain a recovery from them of cash or other assets or properties sufficient to satisfy such remaining indemnifiable Losses). The price per share of any Pre-Funded Warrant Shares used to satisfy any indemnifiable Losses pursuant to the foregoing clause (i) set forth above in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shall be equal to the average Nasdaq official closing price of the Common Stock for the five (5) trading days immediately preceding the date on which the indemnifiable Losses have been agreed or finally adjudicated to be payable to the Buyer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6.07         Exclusive Remedies. </w:t>
      </w:r>
      <w:r>
        <w:rPr>
          <w:rFonts w:ascii="Times New Roman;Times;Serif" w:hAnsi="Times New Roman;Times;Serif"/>
          <w:b w:val="false"/>
          <w:i w:val="false"/>
          <w:caps w:val="false"/>
          <w:smallCaps w:val="false"/>
          <w:sz w:val="20"/>
        </w:rPr>
        <w:t xml:space="preserve">The parties acknowledge and agree that from and after Closing their sole and exclusive remedy with respect to any and all claims for any breach of any representation, warranty, covenant, agreement or obligation set forth herein or otherwise relating to the subject matter of this Agreement, shall be pursuant to the indemnification provisions set forth in this </w:t>
      </w: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 xml:space="preserve">. In furtherance of the foregoing, each party hereby waives, from and after Closing,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 xml:space="preserve">. Notwithstanding anything express or implied in the foregoing provisions of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or in any other provision of this </w:t>
      </w: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or elsewhere in this </w:t>
      </w: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 xml:space="preserve"> shall limit (i) any Person’s right to seek and obtain any equitable relief to which any Person shall be entitled or (ii) any Person’s rights or remedies to which such Person may be entitled in connection with, or as a result of, any Fraud (as defined below). For purposes of this Agreement, “</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means common law fraud under the Laws of the State of Delaware with respect to the making of representations and warranties, or the performance of any covenants,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7.01         Expenses. </w:t>
      </w:r>
      <w:r>
        <w:rPr>
          <w:rFonts w:ascii="Times New Roman;Times;Serif" w:hAnsi="Times New Roman;Times;Serif"/>
          <w:b w:val="false"/>
          <w:i w:val="false"/>
          <w:caps w:val="false"/>
          <w:smallCaps w:val="false"/>
          <w:sz w:val="20"/>
        </w:rPr>
        <w:t>All costs and expenses incurred in connection with this Agreement and the transactions contemplated hereby shall be paid by the party incurring such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7.02         Notices. </w:t>
      </w:r>
      <w:r>
        <w:rPr>
          <w:rFonts w:ascii="Times New Roman;Times;Serif" w:hAnsi="Times New Roman;Times;Serif"/>
          <w:b w:val="false"/>
          <w:i w:val="false"/>
          <w:caps w:val="false"/>
          <w:smallCaps w:val="false"/>
          <w:sz w:val="20"/>
        </w:rPr>
        <w:t xml:space="preserve">All notices, claims, demands,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160"/>
        <w:gridCol w:w="4970"/>
      </w:tblGrid>
      <w:tr>
        <w:trPr/>
        <w:tc>
          <w:tcPr>
            <w:tcW w:w="1160" w:type="dxa"/>
            <w:tcBorders/>
            <w:vAlign w:val="center"/>
          </w:tcPr>
          <w:p>
            <w:pPr>
              <w:pStyle w:val="TableContents"/>
              <w:bidi w:val="0"/>
              <w:spacing w:before="0" w:after="283"/>
              <w:jc w:val="left"/>
              <w:rPr>
                <w:b/>
              </w:rPr>
            </w:pPr>
            <w:r>
              <w:rPr>
                <w:b/>
              </w:rPr>
              <w:t>If to Seller:</w:t>
            </w:r>
          </w:p>
        </w:tc>
        <w:tc>
          <w:tcPr>
            <w:tcW w:w="4970" w:type="dxa"/>
            <w:tcBorders/>
            <w:vAlign w:val="center"/>
          </w:tcPr>
          <w:p>
            <w:pPr>
              <w:pStyle w:val="TableContents"/>
              <w:bidi w:val="0"/>
              <w:spacing w:before="0" w:after="283"/>
              <w:jc w:val="both"/>
              <w:rPr/>
            </w:pPr>
            <w:r>
              <w:rPr/>
              <w:t>MORIA MINING, LLC</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4970" w:type="dxa"/>
            <w:tcBorders/>
            <w:vAlign w:val="center"/>
          </w:tcPr>
          <w:p>
            <w:pPr>
              <w:pStyle w:val="TableContents"/>
              <w:bidi w:val="0"/>
              <w:spacing w:before="0" w:after="283"/>
              <w:jc w:val="both"/>
              <w:rPr/>
            </w:pPr>
            <w:r>
              <w:rPr/>
              <w:t>1207 Delaware Ave #2263, Wilmington, DE 19806</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4970" w:type="dxa"/>
            <w:tcBorders/>
            <w:vAlign w:val="center"/>
          </w:tcPr>
          <w:p>
            <w:pPr>
              <w:pStyle w:val="TableContents"/>
              <w:bidi w:val="0"/>
              <w:spacing w:before="0" w:after="283"/>
              <w:jc w:val="both"/>
              <w:rPr/>
            </w:pPr>
            <w:r>
              <w:rPr/>
              <w:t>Email: kevin@abcconsultingllc.com</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4970" w:type="dxa"/>
            <w:tcBorders/>
            <w:vAlign w:val="center"/>
          </w:tcPr>
          <w:p>
            <w:pPr>
              <w:pStyle w:val="TableContents"/>
              <w:bidi w:val="0"/>
              <w:spacing w:before="0" w:after="283"/>
              <w:jc w:val="both"/>
              <w:rPr/>
            </w:pPr>
            <w:r>
              <w:rPr/>
              <w:t>Attention: Kevin Zhang</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1940"/>
        <w:gridCol w:w="5405"/>
      </w:tblGrid>
      <w:tr>
        <w:trPr/>
        <w:tc>
          <w:tcPr>
            <w:tcW w:w="1940" w:type="dxa"/>
            <w:tcBorders/>
            <w:vAlign w:val="center"/>
          </w:tcPr>
          <w:p>
            <w:pPr>
              <w:pStyle w:val="TableContents"/>
              <w:bidi w:val="0"/>
              <w:spacing w:before="0" w:after="283"/>
              <w:jc w:val="left"/>
              <w:rPr/>
            </w:pPr>
            <w:r>
              <w:rPr/>
              <w:t>with a copy</w:t>
            </w:r>
          </w:p>
        </w:tc>
        <w:tc>
          <w:tcPr>
            <w:tcW w:w="540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(which shall not</w:t>
            </w:r>
          </w:p>
        </w:tc>
        <w:tc>
          <w:tcPr>
            <w:tcW w:w="540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constitute notice) to:</w:t>
            </w:r>
          </w:p>
        </w:tc>
        <w:tc>
          <w:tcPr>
            <w:tcW w:w="5405" w:type="dxa"/>
            <w:tcBorders/>
            <w:vAlign w:val="center"/>
          </w:tcPr>
          <w:p>
            <w:pPr>
              <w:pStyle w:val="TableContents"/>
              <w:bidi w:val="0"/>
              <w:spacing w:before="0" w:after="283"/>
              <w:jc w:val="both"/>
              <w:rPr/>
            </w:pPr>
            <w:r>
              <w:rPr/>
              <w:t>Cooley LLP</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5405" w:type="dxa"/>
            <w:tcBorders/>
            <w:vAlign w:val="center"/>
          </w:tcPr>
          <w:p>
            <w:pPr>
              <w:pStyle w:val="TableContents"/>
              <w:bidi w:val="0"/>
              <w:spacing w:before="0" w:after="283"/>
              <w:jc w:val="both"/>
              <w:rPr/>
            </w:pPr>
            <w:r>
              <w:rPr/>
              <w:t>500 Boylston Street, 14th Floor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5405" w:type="dxa"/>
            <w:tcBorders/>
            <w:vAlign w:val="center"/>
          </w:tcPr>
          <w:p>
            <w:pPr>
              <w:pStyle w:val="TableContents"/>
              <w:bidi w:val="0"/>
              <w:spacing w:before="0" w:after="283"/>
              <w:jc w:val="both"/>
              <w:rPr/>
            </w:pPr>
            <w:r>
              <w:rPr/>
              <w:t>Boston, MA 02116</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5405" w:type="dxa"/>
            <w:tcBorders/>
            <w:vAlign w:val="center"/>
          </w:tcPr>
          <w:p>
            <w:pPr>
              <w:pStyle w:val="TableContents"/>
              <w:bidi w:val="0"/>
              <w:spacing w:before="0" w:after="283"/>
              <w:jc w:val="both"/>
              <w:rPr/>
            </w:pPr>
            <w:r>
              <w:rPr/>
              <w:t>Attention: Alfred Browne; Eric Blanchard</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5405" w:type="dxa"/>
            <w:tcBorders/>
            <w:vAlign w:val="center"/>
          </w:tcPr>
          <w:p>
            <w:pPr>
              <w:pStyle w:val="TableContents"/>
              <w:bidi w:val="0"/>
              <w:spacing w:before="0" w:after="283"/>
              <w:jc w:val="both"/>
              <w:rPr/>
            </w:pPr>
            <w:r>
              <w:rPr/>
              <w:t>E-mail: abrowne@cooley.com; eblanchard@cooley.com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890"/>
        <w:gridCol w:w="4175"/>
      </w:tblGrid>
      <w:tr>
        <w:trPr/>
        <w:tc>
          <w:tcPr>
            <w:tcW w:w="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WTI:</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WINKLEVOSS TREASURY INVESTMENTS, LLC</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W 24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 Fourth Floor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10010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will.mcevoy@winklevosscapital.com</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Will McEvoy</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1730"/>
        <w:gridCol w:w="4625"/>
      </w:tblGrid>
      <w:tr>
        <w:trPr/>
        <w:tc>
          <w:tcPr>
            <w:tcW w:w="6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t>
            </w:r>
          </w:p>
        </w:tc>
      </w:tr>
      <w:tr>
        <w:trPr/>
        <w:tc>
          <w:tcPr>
            <w:tcW w:w="6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shall not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 notice) to:</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Boylston Street, 14th Floor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02116</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Alfred Browne; Eric Blanchard</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abrowne@cooley.com; eblanchard@cooley.com</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1010"/>
        <w:gridCol w:w="2600"/>
      </w:tblGrid>
      <w:tr>
        <w:trPr/>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Buyer:</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MINING LLC</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Thorndike Street, Suite B1-1</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02141</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doug@cypherpunk.com</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Douglas E. Onsi</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730"/>
        <w:gridCol w:w="3050"/>
      </w:tblGrid>
      <w:tr>
        <w:trPr/>
        <w:tc>
          <w:tcPr>
            <w:tcW w:w="47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t>
            </w:r>
          </w:p>
        </w:tc>
      </w:tr>
      <w:tr>
        <w:trPr/>
        <w:tc>
          <w:tcPr>
            <w:tcW w:w="47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shall not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 notice) to:</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Lewis &amp; Bockius LLP</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Federal St.</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02110</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julio.vega@morganlewis.com</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Julio E. Vega</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5"/>
        <w:gridCol w:w="3230"/>
      </w:tblGrid>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Parent:</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TECHNOLOGIES INC.</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Thorndike Street, Suite B1-1</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02141</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doug@cypherpunk.com</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Douglas E. Onsi</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730"/>
        <w:gridCol w:w="3050"/>
      </w:tblGrid>
      <w:tr>
        <w:trPr/>
        <w:tc>
          <w:tcPr>
            <w:tcW w:w="47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t>
            </w:r>
          </w:p>
        </w:tc>
      </w:tr>
      <w:tr>
        <w:trPr/>
        <w:tc>
          <w:tcPr>
            <w:tcW w:w="47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shall not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 notice) to:</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Lewis &amp; Bockius LLP</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Federal St.</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02110</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julio.vega@morganlewis.com</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Julio E. Vega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7.03          Interpretation; Headings. </w:t>
      </w:r>
      <w:r>
        <w:rPr>
          <w:rFonts w:ascii="Times New Roman;Times;Serif" w:hAnsi="Times New Roman;Times;Serif"/>
          <w:b w:val="false"/>
          <w:i w:val="false"/>
          <w:caps w:val="false"/>
          <w:smallCaps w:val="false"/>
          <w:sz w:val="20"/>
        </w:rPr>
        <w:t>This Agreement shall be construed without regard to any presumption or rule requiring construction or interpretation against the party drafting an instrument or causing any instrument to be drafted. The headings in this Agreement are for reference only and shall not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7.04         Severability. </w:t>
      </w:r>
      <w:r>
        <w:rPr>
          <w:rFonts w:ascii="Times New Roman;Times;Serif" w:hAnsi="Times New Roman;Times;Serif"/>
          <w:b w:val="false"/>
          <w:i w:val="false"/>
          <w:caps w:val="false"/>
          <w:smallCaps w:val="false"/>
          <w:sz w:val="20"/>
        </w:rPr>
        <w:t>If any term or provision of this Agreement is invalid, illegal, or unenforceable in any jurisdiction, such invalidity, illegality, or unenforceability shall not affect any other term or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7.05         Entire Agreement. </w:t>
      </w:r>
      <w:r>
        <w:rPr>
          <w:rFonts w:ascii="Times New Roman;Times;Serif" w:hAnsi="Times New Roman;Times;Serif"/>
          <w:b w:val="false"/>
          <w:i w:val="false"/>
          <w:caps w:val="false"/>
          <w:smallCaps w:val="false"/>
          <w:sz w:val="20"/>
        </w:rPr>
        <w:t>This Agreement and the other Transaction Documents constitute the sole and entire agreement of the parties to this Agreement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other Transaction Documents, the exhibits, and the Schedules, the statements in the body of this Agreement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7.06         Successors and Assigns. </w:t>
      </w:r>
      <w:r>
        <w:rPr>
          <w:rFonts w:ascii="Times New Roman;Times;Serif" w:hAnsi="Times New Roman;Times;Serif"/>
          <w:b w:val="false"/>
          <w:i w:val="false"/>
          <w:caps w:val="false"/>
          <w:smallCaps w:val="false"/>
          <w:sz w:val="20"/>
        </w:rPr>
        <w:t xml:space="preserve">This Agreement shall be binding upon and shall inure to the benefit of the Parties and their respective successors and permitted assigns. No Party may assign its rights or obligations hereunder without the prior written consent of the other Parties, which consent shall not be unreasonably withheld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Closing, a Party may assign, without the prior written consent of any of the other Parties, such assigning Party’s rights and obligations under this Agreement in its entirety to its successor in interest in connection with a merger, reorganization, sale of all or substantially all of such Party’s assets or equity. Any purported assignment in violation of this section shall be null and void. No assignment shall relieve the assigning Party of any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7.07         Amendment and Modification; Waiver. </w:t>
      </w:r>
      <w:r>
        <w:rPr>
          <w:rFonts w:ascii="Times New Roman;Times;Serif" w:hAnsi="Times New Roman;Times;Serif"/>
          <w:b w:val="false"/>
          <w:i w:val="false"/>
          <w:caps w:val="false"/>
          <w:smallCaps w:val="false"/>
          <w:sz w:val="20"/>
        </w:rPr>
        <w:t>This Agreement may only be amended, modified, or supplemented by an agreement in writing signed by each party hereto. No waiver by any party of any of the provisions hereof shall be effective unless explicitly set forth in writing and signed by the party so waiving. No failure to exercise, or delay in exercising, any right or remedy arising from this Agreement shall operate or be construed as a waiver thereof; nor shall any single or partial exercise of any right or remedy hereunder preclude any other or further exercise thereof or the exercise of any other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7.08</w:t>
        <w:tab/>
        <w:t xml:space="preserve">     Governing Law; Submission to Jurisdiction; Waiver of Jury Trial. </w:t>
      </w:r>
      <w:r>
        <w:rPr>
          <w:rFonts w:ascii="Times New Roman;Times;Serif" w:hAnsi="Times New Roman;Times;Serif"/>
          <w:b w:val="false"/>
          <w:i w:val="false"/>
          <w:caps w:val="false"/>
          <w:smallCaps w:val="false"/>
          <w:sz w:val="20"/>
        </w:rPr>
        <w:t>All questions concerning the construction, validity, enforcement and interpretation of this Agreement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Agreement (whether brought against a party hereto or its respective affiliates, directors, officers, shareholders, employees or agents) shall be commenced exclusively in the state and federal courts sitting in the State of Delaware. Each party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this Agreement),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PARTY HERETO ACKNOWLEDGES AND AGREES THAT ANY CONTROVERSY WHICH MAY ARISE UNDER THIS AGREEMENT OR THE OTHER TRANSACTION DOCUMENTS IS LIKELY TO INVOLVE COMPLICATED AND DIFFICULT ISSUES AND, THEREFORE, EACH PARTY IRREVOCABLY AND UNCONDITIONALLY WAIVES, TO THE FULLEST EXTENT PERMITTED BY APPLICABLE LAW, ANY RIGHT IT MAY HAVE TO A TRIAL BY JURY IN ANY LEGAL ACTION, PROCEEDING, CAUSE OF ACTION, OR COUNTERCLAIM ARISING OUT OF OR RELATING TO THIS AGREEMENT, INCLUDING ANY EXHIBITS AND SCHEDULES ATTACHED TO THIS AGREEMENT, THE OTHER TRANSACTION DOCUMENTS, OR THE TRANSACTIONS CONTEMPLATED HEREBY OR THEREBY. EACH PARTY CERTIFIES AND ACKNOWLEDGES THAT: (I) NO REPRESENTATIVE OF ANY OTHER PARTY HAS REPRESENTED, EXPRESSLY OR OTHERWISE, THAT SUCH OTHER PARTY WOULD NOT SEEK TO ENFORCE THE FOREGOING WAIVER IN THE EVENT OF A LEGAL ACTION; (II) EACH PARTY HAS CONSIDERED THE IMPLICATIONS OF THIS WAIVER; (III) EACH PARTY MAKES THIS WAIVER KNOWINGLY AND VOLUNTARILY; AND (IV) EACH PARTY HAS BEEN INDUCED TO ENTER INTO THIS AGREEMENT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7.09</w:t>
        <w:tab/>
        <w:t xml:space="preserve">     Counterparts. </w:t>
      </w:r>
      <w:r>
        <w:rPr>
          <w:rFonts w:ascii="Times New Roman;Times;Serif" w:hAnsi="Times New Roman;Times;Serif"/>
          <w:b w:val="false"/>
          <w:i w:val="false"/>
          <w:caps w:val="false"/>
          <w:smallCaps w:val="false"/>
          <w:sz w:val="20"/>
        </w:rPr>
        <w:t>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w:t>
        <w:tab/>
        <w:t>     No Reliance</w:t>
      </w:r>
      <w:r>
        <w:rPr>
          <w:rFonts w:ascii="Times New Roman;Times;Serif" w:hAnsi="Times New Roman;Times;Serif"/>
          <w:b w:val="false"/>
          <w:i w:val="false"/>
          <w:caps w:val="false"/>
          <w:smallCaps w:val="false"/>
          <w:sz w:val="20"/>
        </w:rPr>
        <w:t xml:space="preserve">. Each Buyer Party acknowledges and agrees that except for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any Transaction Document, no Seller Party or any other Person or entity on behalf of a Seller Party has made or makes, and such Buyer Party has not relied upon, any representation or warranty, whether express or implied at law or equity, with respect to a Seller Party, any of their respective Affiliates, the Purchased Assets, Assumed Liabilities or the businesses, affairs, assets, liabilities, financial condition, results of operations, future operating or financial results, estimates, projections, forecasts, plans or prospects (including the reasonableness of the assumptions underlying such estimates, projections, forecasts, plans or prospects) with respect to any of the foregoing or with respect to the accuracy or completeness of any other information provided or made available to such Buyer Party or any of its Representatives by or on behalf of any Seller Party. Each Buyer Party acknowledges and agrees that no Seller Party or any other Person or entity on behalf of a Seller Party has made or makes, and such Buyer Party has not relied upon, any representation or warranty, whether express or implied, with respect to any projections, forecasts, estimates or budgets made available to such Buyer Party or any of its Representatives of future revenues, future results of operations (or any component thereof), future cash flows or future financial condition (or any component thereof) of any Seller Party, any of their respective Affiliates, the Purchased Assets or any of the Assumed Liabilities. Each Buyer Party disclaims any other representations or warranties, whether made by a Seller Party or any of their respective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w:t>
        <w:tab/>
        <w:t>     No Recourse</w:t>
      </w:r>
      <w:r>
        <w:rPr>
          <w:rFonts w:ascii="Times New Roman;Times;Serif" w:hAnsi="Times New Roman;Times;Serif"/>
          <w:b w:val="false"/>
          <w:i w:val="false"/>
          <w:caps w:val="false"/>
          <w:smallCaps w:val="false"/>
          <w:sz w:val="20"/>
        </w:rPr>
        <w:t>. Notwithstanding anything to the contrary contained herein or otherwise, the Parties agree that no Person other than the Parties to this Agreement shall have any obligation hereunder and this Agreement may only be enforced against, and any claims or causes of action that may be based upon, arise out of or relate to this Agreement, or the negotiation, execution or performance of this Agreement or the transactions contemplated hereby, may only be made against the Parties hereto in their capacities as such and their permitted successors and assigns, and no former, current or future stockholders, equity holders, controlling persons, directors, officers, employees, general or limited partners, members, managers, agents or any former, current or future direct or indirect stockholder, equity holder, controlling person, director, officer, employee, general or limited partner, member, manager, agent or Affiliate of any of the foregoing (each, a “</w:t>
      </w:r>
      <w:r>
        <w:rPr>
          <w:rFonts w:ascii="Times New Roman;Times;Serif" w:hAnsi="Times New Roman;Times;Serif"/>
          <w:b/>
          <w:i w:val="false"/>
          <w:caps w:val="false"/>
          <w:smallCaps w:val="false"/>
          <w:sz w:val="20"/>
        </w:rPr>
        <w:t>Non-Recourse Party</w:t>
      </w:r>
      <w:r>
        <w:rPr>
          <w:rFonts w:ascii="Times New Roman;Times;Serif" w:hAnsi="Times New Roman;Times;Serif"/>
          <w:b w:val="false"/>
          <w:i w:val="false"/>
          <w:caps w:val="false"/>
          <w:smallCaps w:val="false"/>
          <w:sz w:val="20"/>
        </w:rPr>
        <w:t xml:space="preserve">”) shall have any liability for any obligations or liabilities of the Parties to this Agreement or for any claim (whether in tort, contract or otherwise, by the enforcement of any assessment or by any legal or equitable proceeding, or by virtue of any statute, regulation or other applicable law) based on, in respect of, or by reason of, the transactions contemplated hereby or in respect of any oral representations made or alleged to be made in connection herewith, it being expressly agreed and acknowledged that no personal liability whatsoever shall attach to, be imposed on or otherwise be incurred by any Non-Recourse Party in connection therewith. None of the Parties shall assert or permit any other Person (including, any stockholder of such Party) to assert or threaten to assert that this Agreement or any part hereof is invalid, illegal or unenforceable. Notwithstanding anything to the contrary in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or any other provision of this Agreement, (i) nothing in this Agreement shall limit the obligations of any party to any Transaction Document under this Agreement or any Transaction Document or limit or otherwise restrict any party’s rights or recourse against any party to any Transaction Document under this Agreement or any Transaction Document, and (ii) nothing in the foregoing provisions of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or elsewhere in this Agreement shall limit the Liability of, or recourse against, any Non-Recourse Party for any Fraud committed by such Non-Recourse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executed as of the date first written above by their duly authorized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MORIA MINING, LLC</w:t>
      </w:r>
    </w:p>
    <w:p>
      <w:pPr>
        <w:pStyle w:val="TextBody"/>
        <w:bidi w:val="0"/>
        <w:spacing w:before="0" w:after="0"/>
        <w:ind w:left="0" w:right="0" w:hanging="0"/>
        <w:jc w:val="left"/>
        <w:rPr>
          <w:caps w:val="false"/>
          <w:smallCaps w:val="false"/>
        </w:rPr>
      </w:pPr>
      <w:r>
        <w:rPr>
          <w:caps w:val="false"/>
          <w:smallCaps w:val="false"/>
        </w:rPr>
        <w:t> </w:t>
      </w:r>
    </w:p>
    <w:tbl>
      <w:tblPr>
        <w:tblW w:w="675" w:type="dxa"/>
        <w:jc w:val="left"/>
        <w:tblInd w:w="0" w:type="dxa"/>
        <w:tblLayout w:type="fixed"/>
        <w:tblCellMar>
          <w:top w:w="0" w:type="dxa"/>
          <w:left w:w="0" w:type="dxa"/>
          <w:bottom w:w="0" w:type="dxa"/>
          <w:right w:w="0" w:type="dxa"/>
        </w:tblCellMar>
      </w:tblPr>
      <w:tblGrid>
        <w:gridCol w:w="545"/>
        <w:gridCol w:w="65"/>
        <w:gridCol w:w="6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WINKLEVOSS TREASURY INVESTMENTS, LLC</w:t>
      </w:r>
    </w:p>
    <w:p>
      <w:pPr>
        <w:pStyle w:val="TextBody"/>
        <w:bidi w:val="0"/>
        <w:spacing w:before="0" w:after="0"/>
        <w:ind w:left="0" w:right="0" w:hanging="0"/>
        <w:jc w:val="left"/>
        <w:rPr>
          <w:caps w:val="false"/>
          <w:smallCaps w:val="false"/>
        </w:rPr>
      </w:pPr>
      <w:r>
        <w:rPr>
          <w:caps w:val="false"/>
          <w:smallCaps w:val="false"/>
        </w:rPr>
        <w:t> </w:t>
      </w:r>
    </w:p>
    <w:tbl>
      <w:tblPr>
        <w:tblW w:w="675" w:type="dxa"/>
        <w:jc w:val="left"/>
        <w:tblInd w:w="0" w:type="dxa"/>
        <w:tblLayout w:type="fixed"/>
        <w:tblCellMar>
          <w:top w:w="0" w:type="dxa"/>
          <w:left w:w="0" w:type="dxa"/>
          <w:bottom w:w="0" w:type="dxa"/>
          <w:right w:w="0" w:type="dxa"/>
        </w:tblCellMar>
      </w:tblPr>
      <w:tblGrid>
        <w:gridCol w:w="545"/>
        <w:gridCol w:w="65"/>
        <w:gridCol w:w="6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MINING LLC</w:t>
      </w:r>
    </w:p>
    <w:p>
      <w:pPr>
        <w:pStyle w:val="TextBody"/>
        <w:bidi w:val="0"/>
        <w:spacing w:before="0" w:after="0"/>
        <w:ind w:left="0" w:right="0" w:hanging="0"/>
        <w:jc w:val="left"/>
        <w:rPr>
          <w:caps w:val="false"/>
          <w:smallCaps w:val="false"/>
        </w:rPr>
      </w:pPr>
      <w:r>
        <w:rPr>
          <w:caps w:val="false"/>
          <w:smallCaps w:val="false"/>
        </w:rPr>
        <w:t> </w:t>
      </w:r>
    </w:p>
    <w:tbl>
      <w:tblPr>
        <w:tblW w:w="2385" w:type="dxa"/>
        <w:jc w:val="left"/>
        <w:tblInd w:w="0" w:type="dxa"/>
        <w:tblLayout w:type="fixed"/>
        <w:tblCellMar>
          <w:top w:w="0" w:type="dxa"/>
          <w:left w:w="0" w:type="dxa"/>
          <w:bottom w:w="0" w:type="dxa"/>
          <w:right w:w="0" w:type="dxa"/>
        </w:tblCellMar>
      </w:tblPr>
      <w:tblGrid>
        <w:gridCol w:w="545"/>
        <w:gridCol w:w="1775"/>
        <w:gridCol w:w="6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E. Onsi</w:t>
            </w:r>
          </w:p>
        </w:tc>
        <w:tc>
          <w:tcPr>
            <w:tcW w:w="6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w:t>
      </w:r>
    </w:p>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710"/>
        <w:gridCol w:w="3440"/>
        <w:gridCol w:w="65"/>
      </w:tblGrid>
      <w:tr>
        <w:trPr/>
        <w:tc>
          <w:tcPr>
            <w:tcW w:w="710" w:type="dxa"/>
            <w:tcBorders/>
            <w:vAlign w:val="center"/>
          </w:tcPr>
          <w:p>
            <w:pPr>
              <w:pStyle w:val="TableContents"/>
              <w:bidi w:val="0"/>
              <w:spacing w:before="0" w:after="283"/>
              <w:jc w:val="both"/>
              <w:rPr/>
            </w:pPr>
            <w:r>
              <w:rPr/>
              <w:t>By:</w:t>
            </w:r>
          </w:p>
        </w:tc>
        <w:tc>
          <w:tcPr>
            <w:tcW w:w="3440" w:type="dxa"/>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both"/>
              <w:rPr/>
            </w:pPr>
            <w:r>
              <w:rPr/>
              <w:t xml:space="preserve">Name: </w:t>
            </w:r>
          </w:p>
        </w:tc>
        <w:tc>
          <w:tcPr>
            <w:tcW w:w="3440" w:type="dxa"/>
            <w:tcBorders/>
            <w:vAlign w:val="center"/>
          </w:tcPr>
          <w:p>
            <w:pPr>
              <w:pStyle w:val="TableContents"/>
              <w:bidi w:val="0"/>
              <w:spacing w:before="0" w:after="283"/>
              <w:jc w:val="both"/>
              <w:rPr/>
            </w:pPr>
            <w:r>
              <w:rPr/>
              <w:t>Douglas E. Onsi</w:t>
            </w:r>
          </w:p>
        </w:tc>
        <w:tc>
          <w:tcPr>
            <w:tcW w:w="6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both"/>
              <w:rPr/>
            </w:pPr>
            <w:r>
              <w:rPr/>
              <w:t xml:space="preserve">Title: </w:t>
            </w:r>
          </w:p>
        </w:tc>
        <w:tc>
          <w:tcPr>
            <w:tcW w:w="3440" w:type="dxa"/>
            <w:tcBorders/>
            <w:vAlign w:val="center"/>
          </w:tcPr>
          <w:p>
            <w:pPr>
              <w:pStyle w:val="TableContents"/>
              <w:bidi w:val="0"/>
              <w:spacing w:before="0" w:after="283"/>
              <w:jc w:val="both"/>
              <w:rPr/>
            </w:pPr>
            <w:r>
              <w:rPr/>
              <w:t>President &amp; Chief Executive Officer</w:t>
            </w:r>
          </w:p>
        </w:tc>
        <w:tc>
          <w:tcPr>
            <w:tcW w:w="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Bill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Novation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RRA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 Equipment</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10" w:type="dxa"/>
        <w:tblLayout w:type="fixed"/>
        <w:tblCellMar>
          <w:top w:w="28" w:type="dxa"/>
          <w:left w:w="108" w:type="dxa"/>
          <w:bottom w:w="28" w:type="dxa"/>
          <w:right w:w="108" w:type="dxa"/>
        </w:tblCellMar>
      </w:tblPr>
      <w:tblGrid>
        <w:gridCol w:w="1910"/>
        <w:gridCol w:w="575"/>
      </w:tblGrid>
      <w:tr>
        <w:trPr/>
        <w:tc>
          <w:tcPr>
            <w:tcW w:w="19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Hosting Site</w:t>
            </w:r>
          </w:p>
        </w:tc>
        <w:tc>
          <w:tcPr>
            <w:tcW w:w="5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Units</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Barstow</w:t>
            </w:r>
          </w:p>
        </w:tc>
        <w:tc>
          <w:tcPr>
            <w:tcW w:w="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1,351</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Hamblen</w:t>
            </w:r>
          </w:p>
        </w:tc>
        <w:tc>
          <w:tcPr>
            <w:tcW w:w="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621</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Fairview</w:t>
            </w:r>
          </w:p>
        </w:tc>
        <w:tc>
          <w:tcPr>
            <w:tcW w:w="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2,929</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Demonstration Unit</w:t>
            </w:r>
          </w:p>
        </w:tc>
        <w:tc>
          <w:tcPr>
            <w:tcW w:w="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w:t>
            </w:r>
          </w:p>
        </w:tc>
        <w:tc>
          <w:tcPr>
            <w:tcW w:w="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4,902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bookmarkStart w:id="25" w:name="tm2623453d1_ex4-1.htm"/>
      <w:bookmarkStart w:id="26" w:name="kstm2623453d1_ex4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 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COMMON STOCK PURCHASE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TECHNOLOGIES INC.</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285"/>
        <w:gridCol w:w="2315"/>
      </w:tblGrid>
      <w:tr>
        <w:trPr/>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43,290,042</w:t>
            </w:r>
          </w:p>
        </w:tc>
        <w:tc>
          <w:tcPr>
            <w:tcW w:w="23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August 17,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Winklevoss Treasury Investments, LLC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to subscribe for and purchase from Cypherpunk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43,290,042 shares of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such Common Stock underlying this Warrant,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xml:space="preserve">”) of the Company. The purchase price of one share of Common Stock underlying this Warrant shall be equal to the Exercise Price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Asset Purchase Agreement (the “</w:t>
      </w:r>
      <w:r>
        <w:rPr>
          <w:rFonts w:ascii="Times New Roman;Times;Serif" w:hAnsi="Times New Roman;Times;Serif"/>
          <w:b w:val="false"/>
          <w:i w:val="false"/>
          <w:caps w:val="false"/>
          <w:smallCaps w:val="false"/>
          <w:sz w:val="20"/>
          <w:u w:val="single"/>
        </w:rPr>
        <w:t>Purchase Agreemen</w:t>
      </w:r>
      <w:r>
        <w:rPr>
          <w:rFonts w:ascii="Times New Roman;Times;Serif" w:hAnsi="Times New Roman;Times;Serif"/>
          <w:b w:val="false"/>
          <w:i w:val="false"/>
          <w:caps w:val="false"/>
          <w:smallCaps w:val="false"/>
          <w:sz w:val="20"/>
        </w:rPr>
        <w:t>t”), dated August 17, 2026, by and among the Company, Cypherpunk Moria Mining Acquisition LLC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Moria Mining, LLC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Subject to the terms and conditions hereof,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two (2) Trading Days and (ii) the number of Trading Days comprising the Standard Settlement Period (as defined in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below is applicable and specified in the attached Notice of Exercise. The Company shall have no obligation to inquire with respect to or otherwise confirm the authenticity of the signature(s) contained on any Notice of Exercise nor the authority of the person executing such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there is no circumstance that would require the Company to net cash settle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consideration for this Warrant was satisfied by the delivery of the Purchased Assets by Seller to Buyer pursuant to the Purchase Agreement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consideration under any circumstance or for any reason whatsoever. The unpaid exercise price per Warrant Share shall be $0.001,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20"/>
              </w:rPr>
            </w:pPr>
            <w:r>
              <w:rPr>
                <w:sz w:val="20"/>
              </w:rPr>
              <w:t>(A)</w:t>
            </w:r>
          </w:p>
        </w:tc>
        <w:tc>
          <w:tcPr>
            <w:tcW w:w="9948" w:type="dxa"/>
            <w:tcBorders/>
            <w:vAlign w:val="center"/>
          </w:tcPr>
          <w:p>
            <w:pPr>
              <w:pStyle w:val="TableContents"/>
              <w:bidi w:val="0"/>
              <w:spacing w:before="0" w:after="283"/>
              <w:jc w:val="both"/>
              <w:rPr>
                <w:sz w:val="20"/>
              </w:rPr>
            </w:pPr>
            <w:r>
              <w:rPr>
                <w:sz w:val="20"/>
              </w:rPr>
              <w:t xml:space="preserve">= as applicable: (i) the VWAP on the Trading Day immediately preceding the date of the applicable Notice of Exercise if such Notice of Exercise is (1) both executed and delivered pursuant to </w:t>
            </w:r>
            <w:r>
              <w:rPr>
                <w:sz w:val="20"/>
                <w:u w:val="single"/>
              </w:rPr>
              <w:t>Section 2(a)</w:t>
            </w:r>
            <w:r>
              <w:rPr>
                <w:sz w:val="20"/>
              </w:rPr>
              <w:t xml:space="preserve"> hereof on a day that is not a Trading Day or (2) both executed and delivered pursuant to </w:t>
            </w:r>
            <w:r>
              <w:rPr>
                <w:sz w:val="20"/>
                <w:u w:val="single"/>
              </w:rPr>
              <w:t>Section 2(a)</w:t>
            </w:r>
            <w:r>
              <w:rPr>
                <w:sz w:val="20"/>
              </w:rPr>
              <w:t>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sz w:val="20"/>
                <w:u w:val="single"/>
              </w:rPr>
              <w:t>Bloomberg</w:t>
            </w:r>
            <w:r>
              <w:rPr>
                <w:sz w:val="20"/>
              </w:rPr>
              <w:t xml:space="preserve">”)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w:t>
            </w:r>
            <w:r>
              <w:rPr>
                <w:sz w:val="20"/>
                <w:u w:val="single"/>
              </w:rPr>
              <w:t>Section 2(a)</w:t>
            </w:r>
            <w:r>
              <w:rPr>
                <w:sz w:val="20"/>
              </w:rPr>
              <w:t xml:space="preserve"> hereof or (iii) the VWAP on the date of the applicable Notice of Exercise if the date of such Notice of Exercise is a Trading Day and such Notice of Exercise is both executed and delivered pursuant to </w:t>
            </w:r>
            <w:r>
              <w:rPr>
                <w:sz w:val="20"/>
                <w:u w:val="single"/>
              </w:rPr>
              <w:t>Section 2(a)</w:t>
            </w:r>
            <w:r>
              <w:rPr>
                <w:sz w:val="20"/>
              </w:rPr>
              <w:t> hereof after the close of “regular trading hours” on such Trading Day;</w:t>
            </w:r>
          </w:p>
        </w:tc>
      </w:tr>
    </w:tbl>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75"/>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(B)</w:t>
            </w:r>
          </w:p>
        </w:tc>
        <w:tc>
          <w:tcPr>
            <w:tcW w:w="7730" w:type="dxa"/>
            <w:tcBorders/>
            <w:vAlign w:val="center"/>
          </w:tcPr>
          <w:p>
            <w:pPr>
              <w:pStyle w:val="TableContents"/>
              <w:bidi w:val="0"/>
              <w:spacing w:before="0" w:after="283"/>
              <w:jc w:val="both"/>
              <w:rPr>
                <w:sz w:val="20"/>
              </w:rPr>
            </w:pPr>
            <w:r>
              <w:rPr>
                <w:sz w:val="20"/>
              </w:rPr>
              <w:t>= the Exercise Price of this Warrant, as adjusted hereunder, in effect on the date of exercise;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20"/>
              </w:rPr>
            </w:pPr>
            <w:r>
              <w:rPr>
                <w:sz w:val="20"/>
              </w:rPr>
              <w:t>(X)</w:t>
            </w:r>
          </w:p>
        </w:tc>
        <w:tc>
          <w:tcPr>
            <w:tcW w:w="9919" w:type="dxa"/>
            <w:tcBorders/>
            <w:vAlign w:val="center"/>
          </w:tcPr>
          <w:p>
            <w:pPr>
              <w:pStyle w:val="TableContents"/>
              <w:bidi w:val="0"/>
              <w:spacing w:before="0" w:after="283"/>
              <w:jc w:val="both"/>
              <w:rPr>
                <w:sz w:val="20"/>
              </w:rPr>
            </w:pPr>
            <w:r>
              <w:rPr>
                <w:sz w:val="20"/>
              </w:rPr>
              <w:t>= 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prices for the Common Stock are then reported on the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the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as applicable, the volume weighted average price of the Common Stock for such date (or the nearest preceding date) on OTCQB or OTCQX, as applicable, (c) if the Common Stock is not then listed or quoted for trading on a Trading Market or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by mutual agreement of the Holder and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Trading Market is open for trading, including any day on which the Trading Market is open for trading for a period of time less than the customary time. If the Common Stock is not then listed or quoted on a Trading Market,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prices for the Common Stock are then reported on OTCQB or OTCQX, as applicable, the volume weighted average price of the Common Stock for such date (or the nearest preceding date) on OTCQB or OTCQX, as applicable, (c) if the Common Stock is not then listed or quoted for trading on a Trading Market or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by mutual agreement of the Holder and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Warrant Shares are issued in such a cashless exercise, the parties acknowledge and agree that in accordance with Section 3(a)(9) of the Securities Act, the Warrant Shares shall take on the registered characteristics of the Warrants being exercised and any holding period of the Warrant Shares being issued may be tacked on to the holding period of this Warrant. The Company agrees not to take any position contrary to this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Company’s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provided that payment of the aggregate Exercise Price (other than in the instance of a cashless exercise) is received by the Company by such date, (ii) one (1) Trading Day after delivery of the aggregate Exercise Price to the Company and (iii) the number of Trading Days comprising the Standard Settlement Period after the delivery to the Company of the Notice of Exercise, provided that payment of the aggregate Exercise Price (other than in the instance of a cashless exercise) is received by the Company by such date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provided that payment of the aggregate Exercise Price (other than in the instance of a cashless exercise) is received by the Company by such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xml:space="preserve">”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subject to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hereof, the Company agrees to deliver, or cause to be delivered,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xml:space="preserve">. If the Company fails to cause the Company’s transfer agent to transmit to the Holder the Warrant Shares pursuant to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by the Warrant Share Delivery Date, then the Holder will have the right to rescind such exercise by delivering written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xml:space="preserve">. In addition to any other rights available to the Holder, if the Company fails to cause the Company’s transfer agent to transmit to the Holder the Warrant Shares in accordance with the provisions of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above pursuant to an exercise on or before the Warrant Share Delivery Date (other than any such failure that is due to any action or inaction by the Holder with respect to such exercise, or due to circumstances beyond the Company’s reasonable control),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promptly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except that the Holder shall be responsible for any applicable income or capital gains taxes, and the Company shall be responsible for other customary issuance expenses,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 – Beneficial Ownership Limitation</w:t>
      </w:r>
      <w:r>
        <w:rPr>
          <w:rFonts w:ascii="Times New Roman;Times;Serif" w:hAnsi="Times New Roman;Times;Serif"/>
          <w:b w:val="false"/>
          <w:i w:val="false"/>
          <w:caps w:val="false"/>
          <w:smallCaps w:val="false"/>
          <w:sz w:val="20"/>
        </w:rPr>
        <w:t xml:space="preserve">. The Company shall not effect any exercise of this Warrant, and a Holder shall not have the right to exercise any portion of this Warrant, and any such attempted exercise shall be void and of no effect,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the shares of Common Stock would or could be aggregated with the Holder’s for purposes of Section 13(d) of the Exchange Act and the rules and regulations promulgated thereunder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Warrant Shares issuable upon exercise of this Warrant with respect to which such determination is being made, but shall exclude the number of Warrant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applies,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Company’s transfer agent setting forth the number of shares of Common Stock outstanding. Upon the written request of a Holder, the Company shall within two (2) Trading Days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shall be 19.99% of the number of shares of the Common Stock outstanding immediately after giving effect to the issuance of Warrant Shares issuable upon exercise of this Warrant. The Holder, upon notice to the Company, may increase or decrease the Beneficial Ownership Limitation provisions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provided that the Beneficial Ownership Limitation in no event exceeds 19.99% of the number of shares of the Common Stock outstanding immediately after giving effect to the issuance of Warrant Shares upon exercise of this Warrant held by the Holder and the provisions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Notwithstanding anything to the contrary in this Section 2(e), upon the Company’s receipt of the Stockholder Approval (as defined in Section 2(f)), the Beneficial Ownership Limitation set forth in this Section 2(e) shall automatically, and without any further notice, action or consent by the Holder or the Company, be irrevocably waived on behalf of the Company, but, for the avoidance of doubt, not on behalf of the Holder, and shall cease to apply to any exercise of this Warrant from and after the date of such Stockholder Approval. In the event that the issuance of Common Stock to the Holder upon exercise of this Warrant results in the Holder, together with its Affiliates and any Attribution Parties, collectively being deemed to beneficially own, in the aggregate, more than the Beneficial Ownership Limitation, the number of shares so issued by which the aggregate beneficial ownership (as calculated pursuant to Section 13(d) of the Exchange Act and the rules and regulations promulgated thereunder) of the Holder, its Affiliates and its Attribution Parties exceeds such limitation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xml:space="preserve">”) shall be deemed null and void and shall be cancelled ab initio, and the Holder, its Affiliates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and the Holder shall return the Excess Shares to the Company. The provisions of this paragraph shall not be construed and implemented in a manner otherwise than in strict conformity with the terms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 provided that the Holder shall continue to have the right, subject to the conditions set out herein, to exercise any unexercised portion of the Warrant which was otherwise exercisable and all other rights, powers and remedies shall remain hereunder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Holder’s Exercise Limitation - Cap on Warrant Shares Issuable Upon Exercise of this Warrant</w:t>
      </w:r>
      <w:r>
        <w:rPr>
          <w:rFonts w:ascii="Times New Roman;Times;Serif" w:hAnsi="Times New Roman;Times;Serif"/>
          <w:b w:val="false"/>
          <w:i w:val="false"/>
          <w:caps w:val="false"/>
          <w:smallCaps w:val="false"/>
          <w:sz w:val="20"/>
        </w:rPr>
        <w:t xml:space="preserve">. Notwithstanding anything express or implied in this Warrant to the contrary, the Company shall not effect any exercise of this Warrant and shall not issue (and shall not be obligated to issue) any shares of Common Stock upon any such exercise of this Warrant, and Holder shall not have the right to exercise any portion of this Warrant, and any such attempted exercise and issuance shall be void and of no effect,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otherwise, if and to the extent that the issuance of the shares of Common Stock upon any such exercise of this Warrant would exceed the aggregate number of shares of Common Stock which the Company may issue upon exercise of the Warrant without violating Nasdaq Listing Rule 5635(a) and/or Nasdaq Listing 5635(d) (the number of shares which may be issued without violating either or both of such Nasdaq Listing Rules, including without limitation, a violation for not obtaining prior stockholder approval, the “</w:t>
      </w:r>
      <w:r>
        <w:rPr>
          <w:rFonts w:ascii="Times New Roman;Times;Serif" w:hAnsi="Times New Roman;Times;Serif"/>
          <w:b w:val="false"/>
          <w:i w:val="false"/>
          <w:caps w:val="false"/>
          <w:smallCaps w:val="false"/>
          <w:sz w:val="20"/>
          <w:u w:val="single"/>
        </w:rPr>
        <w:t>Exercise Cap</w:t>
      </w:r>
      <w:r>
        <w:rPr>
          <w:rFonts w:ascii="Times New Roman;Times;Serif" w:hAnsi="Times New Roman;Times;Serif"/>
          <w:b w:val="false"/>
          <w:i w:val="false"/>
          <w:caps w:val="false"/>
          <w:smallCaps w:val="false"/>
          <w:sz w:val="20"/>
        </w:rPr>
        <w:t>”), except that such limitation shall not apply (i) with respect to the issuance of any shares of Common Stock upon exercise of this Warrant that do not exceed the Exercise Cap, and (ii) in the event that, and upon such time as, the Company obtains the approval of its stockholders required under Nasdaq Listing Rule 5635(a), Nasdaq Listing Rule 5635(b) and/or Nasdaq Listing 5635(d) with respect to the transactions contemplated by the Purchase Agreement, including the resulting issuance of this Warrant and the issuance of shares of Common Stock upon exercise of this Warrant in excess of the Exercise Cap, which approval shall be sought in accordance with Section 5.10 of the Purchase Agreement (such approval,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xml:space="preserve">”). The Exercise Cap applies in the aggregate to this Warrant and to any and all other Warrants issued upon any transfer, division or exchange of this Warrant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such that the aggregate number of shares of Common Stock issued upon exercise of this Warrant and all such other Warrants, collectively, shall not exceed the Exercise Cap absent Stockholder Approval, and the Company shall track exercises against the Exercise Cap in the Warrant Register (as defined below). As of the Initial Exercise Date, the Exercise Cap is equal to 5,377,442 shares of Common Stock. Any shares of Common Stock issued upon exercise of this Warrant prior to the Company's receipt of Stockholder Approval shall not be entitled to vote on any proposal submitted to the stockholders of the Company to obtain Stockholder Approval. The Holder agrees not to vote, and shall cause any Affiliate or Attribution Party to which such shares are transferred not to vote, any such shares on any such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xml:space="preserve">. In addition to any adjustments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above, if at any time that this Warrant is outstanding the Company grants, issues or sells any options, warrants, convertible securities or other rights to purchase stock, warrants, securities or other property pro rata to all or substantially all of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to the extent that the Holder’s right to participate in any such Purchase Right would result in the Holder exceeding the Beneficial Ownership Limitation or participating in any such Purchase Right in respect of any portion of this Warrant that is otherwise subject to a limitation on Holder’s right to exercise,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(i) would not result in the Holder exceeding the Beneficial Ownership Limitation and/or, if applicable, (ii) also is no longer subject to any limitation or restriction pursuant to the foregoing provisions of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as a result of the termination or expiration of any other applicable limitation on Holder’s right to exercise this Warrant that initially required such Purchase Right to be held in abeyance pursuant to the foregoing provisions of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to the extent that the Holder’s right to participate in any such Distribution would result in the Holder exceeding the Beneficial Ownership Limitation or that any portion of this Warrant is subject to any other limitation on Holder’s right to exercise this Warrant,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(i) would not result in the Holder exceeding the Beneficial Ownership Limitation and/or, if applicable, (ii) also is no longer subject to any limitation or restriction pursuant to the foregoing provisions of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as a result of the termination or expiration of any other applicable limitation on Holder’s right to exercise this Warrant that initially required such portion of such Distribution to be held in abeyance pursuant to the foregoing provisions of this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in which the Company is not the surviving entity (other than a reincorporation in a different state), (ii) the Company or any Company subsidiary, directly or indirectly, effects any sale, lease, license, assignment, transfer, conveyance or other disposition of all or substantially all of the assets of the Company and its subsidiaries, taken as a whole,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shares representing the aggregate voting power of all classes of equity securities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the aggregate voting power of all classes of equity of the Company (each a "Fundamental Transaction"),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Company shall cause any successor entity in a Fundamental Transaction in which the Company is not the survivor (the “Successor Entity”) to assume in writing all of the obligations of the Company under this Warrant pursuant to written agreements in form and substance reasonably satisfactory to the Holder prior to such Fundamental Transaction, and, in the event that, as a result of such Fundamental Transaction and after giving effect to the foregoing provisions of this Section 3(d), the Holder shall have the right to receive, upon exercise of this Warrant, shares of capital stock of the Successor Entity in lieu of shares of Common Stock of the Company, the Successor Entity shall deliver to the Holder in exchange for this Warrant a replacement warrant of the Successor Entity evidenced by a written instrument, which replacement warrant shall be in form and substance reasonably satisfactory to the Holder and the Successor Entity and provide the Holder with the same or substantially equivalent rights as those provided under this Warrant after giving effect to the foregoing provisions of this Section 3(d), including that (1) the total number of warrant shares underlying such replacement warrant shall be equal to the total number of shares of capital stock of the Successor Entity that became subject to this Warrant pursuant to, and in accordance with, the foregoing provisions of this Section 3(d) as a result of such Fundamental Transaction, and (2) the aggregate exercise price of such replacement warrant shall be the same as the aggregate Exercise Price of this Warrant immediately prior to the consummation of the Fundamental Transaction in respect of the total number of Warrant Shares then subject to, and underlying,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calculations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 made to the nearest cent or the nearest 1/100th of a share, as the case may be. For purposes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xml:space="preserve">. Whenever the Exercise Price is adjusted pursuant to any provision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while the Warrant is outstanding, (A) the Company declares a dividend (or any other distribution in whatever form and other than, for the avoidance of doubt, a stock split or combination) on the Common Stock, (B) the Company declares a special nonrecurring cash dividend on, or a redemption of, the shares of Common Stock, (C) the Company authorizes the granting to all holders of the shares of Common Stock rights or warrants to subscribe for or purchase any shares of capital stock of any class or of any rights, (D) the approval of any shareholders of the Company is required in connection with a Fundamental Transaction, or (E) the Company authorizes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 subsidiaries, the Company shall simultaneously file such notice with the Commission pursuant to a Current Report on Form 8-K. The issuance of a press release or the filing of a Form 8-K or other suitable filing with the Commission shall satisfy this notice requirement.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Voluntary Adjustment by the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Subject to compliance with any applicable securities laws, the conditions set forth in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hereof, and the provisions of the Purchase Agreement, the Registration Rights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xml:space="preserve">. Subject to compliance with applicable securities laws,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of this Warrant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(A) provide the Company with an opinion of counsel, in form and substance reasonably satisfactory to the Company, to the effect that such transfer may be made without registration under the Securities Act, and (B) agree in writing to be bound by all applicable transfer restrictions set forth in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xml:space="preserve">. This Warrant does not entitle the Holder to any voting rights, dividends or other rights as a stockholder of the Company prior to the exercise hereof as set forth in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except as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Without limiting the rights of a Holder to receive Warrant Shares on a “cashless exercise” as permitted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and to receive the cash payments contemplated pursuant to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2(d)(iv)</w:t>
      </w:r>
      <w:r>
        <w:rPr>
          <w:rFonts w:ascii="Times New Roman;Times;Serif" w:hAnsi="Times New Roman;Times;Serif"/>
          <w:b w:val="false"/>
          <w:i w:val="false"/>
          <w:caps w:val="false"/>
          <w:smallCaps w:val="false"/>
          <w:sz w:val="20"/>
        </w:rPr>
        <w:t>, in no event will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xml:space="preserve">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at all times during the period the Warrant is outstanding,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 and in such case, by the acceptance hereof, represents and warrants that the Holder will acquire such Warrant Shares issuable upon such exercise for its own account and not with a view to or for distributing or reselling Warrant Shares or any part thereof in violation of the Securities Act or any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amended, or the provisions hereof waived only with the written consent of both the Company and the Holder of this Warrant. Any such modification, amendment or waiver shall be binding on all subsequent holders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3304" w:type="dxa"/>
        <w:jc w:val="left"/>
        <w:tblInd w:w="0" w:type="dxa"/>
        <w:tblLayout w:type="fixed"/>
        <w:tblCellMar>
          <w:top w:w="0" w:type="dxa"/>
          <w:left w:w="0" w:type="dxa"/>
          <w:bottom w:w="0" w:type="dxa"/>
          <w:right w:w="0" w:type="dxa"/>
        </w:tblCellMar>
      </w:tblPr>
      <w:tblGrid>
        <w:gridCol w:w="75"/>
        <w:gridCol w:w="453"/>
        <w:gridCol w:w="772"/>
        <w:gridCol w:w="2004"/>
      </w:tblGrid>
      <w:tr>
        <w:trPr/>
        <w:tc>
          <w:tcPr>
            <w:tcW w:w="75" w:type="dxa"/>
            <w:tcBorders/>
            <w:vAlign w:val="center"/>
          </w:tcPr>
          <w:p>
            <w:pPr>
              <w:pStyle w:val="TableContents"/>
              <w:bidi w:val="0"/>
              <w:spacing w:before="0" w:after="283"/>
              <w:jc w:val="left"/>
              <w:rPr/>
            </w:pPr>
            <w:r>
              <w:rPr/>
              <w:t> </w:t>
            </w:r>
          </w:p>
        </w:tc>
        <w:tc>
          <w:tcPr>
            <w:tcW w:w="32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TECHNOLOGIES INC.</w:t>
            </w:r>
          </w:p>
        </w:tc>
      </w:tr>
      <w:tr>
        <w:trPr/>
        <w:tc>
          <w:tcPr>
            <w:tcW w:w="75" w:type="dxa"/>
            <w:tcBorders/>
            <w:vAlign w:val="center"/>
          </w:tcPr>
          <w:p>
            <w:pPr>
              <w:pStyle w:val="TableContents"/>
              <w:bidi w:val="0"/>
              <w:spacing w:before="0" w:after="283"/>
              <w:jc w:val="left"/>
              <w:rPr/>
            </w:pPr>
            <w:r>
              <w:rPr/>
              <w:t> </w:t>
            </w:r>
          </w:p>
        </w:tc>
        <w:tc>
          <w:tcPr>
            <w:tcW w:w="322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7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Onsi</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CYPHERPUNK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if permitted the cancellation of such number of Warrant Shares as is necessary, in accordance with the formula set forth in </w:t>
      </w:r>
      <w:r>
        <w:rPr>
          <w:rFonts w:ascii="Times New Roman;Times;Serif" w:hAnsi="Times New Roman;Times;Serif"/>
          <w:b w:val="false"/>
          <w:i w:val="false"/>
          <w:caps w:val="false"/>
          <w:smallCaps w:val="false"/>
          <w:sz w:val="20"/>
          <w:u w:val="single"/>
        </w:rPr>
        <w:t>subsection 2(c)</w:t>
      </w:r>
      <w:r>
        <w:rPr>
          <w:rFonts w:ascii="Times New Roman;Times;Serif" w:hAnsi="Times New Roman;Times;Serif"/>
          <w:b w:val="false"/>
          <w:i w:val="false"/>
          <w:caps w:val="false"/>
          <w:smallCaps w:val="false"/>
          <w:sz w:val="20"/>
        </w:rPr>
        <w:t xml:space="preserve">, to exercise this Warrant with respect to the maximum number of Warrant Shares purchasable pursuant to the cashless exercise procedure set forth in </w:t>
      </w:r>
      <w:r>
        <w:rPr>
          <w:rFonts w:ascii="Times New Roman;Times;Serif" w:hAnsi="Times New Roman;Times;Serif"/>
          <w:b w:val="false"/>
          <w:i w:val="false"/>
          <w:caps w:val="false"/>
          <w:smallCaps w:val="false"/>
          <w:sz w:val="20"/>
          <w:u w:val="single"/>
        </w:rPr>
        <w:t>subsection 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hereby represents and warrants that it is an “accredited investor” as defined in Rule 501(a) of Regulation D promulgated under the Securities Act of 1933, as amended, and acknowledges that this representation is being relied upon by the Company in issuing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4475" w:type="dxa"/>
        <w:jc w:val="left"/>
        <w:tblInd w:w="0" w:type="dxa"/>
        <w:tblLayout w:type="fixed"/>
        <w:tblCellMar>
          <w:top w:w="0" w:type="dxa"/>
          <w:left w:w="0" w:type="dxa"/>
          <w:bottom w:w="0" w:type="dxa"/>
          <w:right w:w="0" w:type="dxa"/>
        </w:tblCellMar>
      </w:tblPr>
      <w:tblGrid>
        <w:gridCol w:w="4475"/>
      </w:tblGrid>
      <w:tr>
        <w:trPr/>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Investing Entity:</w:t>
            </w:r>
          </w:p>
        </w:tc>
      </w:tr>
      <w:tr>
        <w:trPr/>
        <w:tc>
          <w:tcPr>
            <w:tcW w:w="4475" w:type="dxa"/>
            <w:tcBorders/>
            <w:vAlign w:val="center"/>
          </w:tcPr>
          <w:p>
            <w:pPr>
              <w:pStyle w:val="TableContents"/>
              <w:bidi w:val="0"/>
              <w:spacing w:before="0" w:after="283"/>
              <w:jc w:val="both"/>
              <w:rPr>
                <w:sz w:val="20"/>
              </w:rPr>
            </w:pPr>
            <w:r>
              <w:rPr>
                <w:rFonts w:ascii="Times New Roman;Times;Serif" w:hAnsi="Times New Roman;Times;Serif"/>
                <w:i/>
                <w:sz w:val="20"/>
              </w:rPr>
              <w:t>Signature of Authorized Signatory of Investing Entity</w:t>
            </w:r>
            <w:r>
              <w:rPr>
                <w:sz w:val="20"/>
              </w:rPr>
              <w:t>:</w:t>
            </w:r>
          </w:p>
        </w:tc>
      </w:tr>
      <w:tr>
        <w:trPr/>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Authorized Signatory:</w:t>
            </w:r>
          </w:p>
        </w:tc>
      </w:tr>
      <w:tr>
        <w:trPr/>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of Authorized Signatory:</w:t>
            </w:r>
          </w:p>
        </w:tc>
      </w:tr>
      <w:tr>
        <w:trPr/>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1295"/>
        <w:gridCol w:w="1085"/>
        <w:gridCol w:w="75"/>
      </w:tblGrid>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0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Print)</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10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Phone Number:</w:t>
            </w:r>
          </w:p>
        </w:tc>
        <w:tc>
          <w:tcPr>
            <w:tcW w:w="10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Address:</w:t>
            </w:r>
          </w:p>
        </w:tc>
        <w:tc>
          <w:tcPr>
            <w:tcW w:w="10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3245"/>
      </w:tblGrid>
      <w:tr>
        <w:trPr/>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_______________ __, ______</w:t>
            </w:r>
          </w:p>
        </w:tc>
      </w:tr>
      <w:tr>
        <w:trPr/>
        <w:tc>
          <w:tcPr>
            <w:tcW w:w="324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Signature: _______________</w:t>
            </w:r>
          </w:p>
        </w:tc>
      </w:tr>
      <w:tr>
        <w:trPr/>
        <w:tc>
          <w:tcPr>
            <w:tcW w:w="3245" w:type="dxa"/>
            <w:tcBorders/>
            <w:vAlign w:val="center"/>
          </w:tcPr>
          <w:p>
            <w:pPr>
              <w:pStyle w:val="TableContents"/>
              <w:bidi w:val="0"/>
              <w:spacing w:before="0" w:after="283"/>
              <w:jc w:val="both"/>
              <w:rPr/>
            </w:pPr>
            <w:r>
              <w:rPr/>
              <w:t> </w:t>
            </w:r>
          </w:p>
        </w:tc>
      </w:tr>
      <w:tr>
        <w:trPr/>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Address:_______________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7" w:name="tm2623453d1_ex10-1.htm"/>
      <w:bookmarkStart w:id="28" w:name="kstm2623453d1_ex101"/>
      <w:bookmarkEnd w:id="27"/>
      <w:bookmarkEnd w:id="28"/>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AMENDMENT</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Registration Rights Agreement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made and entered into as of August 17, 2026, by and between Cypherpunk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Winklevoss Treasury Investments, LLC (“</w:t>
      </w:r>
      <w:r>
        <w:rPr>
          <w:rFonts w:ascii="Times New Roman;Times;Serif" w:hAnsi="Times New Roman;Times;Serif"/>
          <w:b w:val="false"/>
          <w:i w:val="false"/>
          <w:caps w:val="false"/>
          <w:smallCaps w:val="false"/>
          <w:sz w:val="20"/>
          <w:u w:val="single"/>
        </w:rPr>
        <w:t>WTI</w:t>
      </w:r>
      <w:r>
        <w:rPr>
          <w:rFonts w:ascii="Times New Roman;Times;Serif" w:hAnsi="Times New Roman;Times;Serif"/>
          <w:b w:val="false"/>
          <w:i w:val="false"/>
          <w:caps w:val="false"/>
          <w:smallCaps w:val="false"/>
          <w:sz w:val="20"/>
        </w:rPr>
        <w:t>”). Capitalized terms used but not defined herein shall have the meanings ascribed to such terms in the Registration Rights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Investors signatory thereto are parties to that certain Registration Rights Agreement, dated as of October 6, 2025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Moria Mining, LLC, WTI, and Cypherpunk Mining LLC have entered into that certain Asset Purchase Agreement, dated as of August 17, 2026 (the “</w:t>
      </w:r>
      <w:r>
        <w:rPr>
          <w:rFonts w:ascii="Times New Roman;Times;Serif" w:hAnsi="Times New Roman;Times;Serif"/>
          <w:b w:val="false"/>
          <w:i w:val="false"/>
          <w:caps w:val="false"/>
          <w:smallCaps w:val="false"/>
          <w:sz w:val="20"/>
          <w:u w:val="single"/>
        </w:rPr>
        <w:t>Asset Purchase Agreement</w:t>
      </w:r>
      <w:r>
        <w:rPr>
          <w:rFonts w:ascii="Times New Roman;Times;Serif" w:hAnsi="Times New Roman;Times;Serif"/>
          <w:b w:val="false"/>
          <w:i w:val="false"/>
          <w:caps w:val="false"/>
          <w:smallCaps w:val="false"/>
          <w:sz w:val="20"/>
        </w:rPr>
        <w:t>”), pursuant to which the Company agreed to issue to WTI a Pre-Funded Warrant to purchase shares of Common Stock (the “</w:t>
      </w:r>
      <w:r>
        <w:rPr>
          <w:rFonts w:ascii="Times New Roman;Times;Serif" w:hAnsi="Times New Roman;Times;Serif"/>
          <w:b w:val="false"/>
          <w:i w:val="false"/>
          <w:caps w:val="false"/>
          <w:smallCaps w:val="false"/>
          <w:sz w:val="20"/>
          <w:u w:val="single"/>
        </w:rPr>
        <w:t>APA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issuance of the APA Warrant, the Company and WTI desire to amend the Registration Rights Agreement to provide WTI with registration rights with respect to all shares of Common Stock and any Common Stock issued or issuable upon the exercise or conversion of any other securities (whether equity, debt or otherwise) of the Company now owned or hereafter acquired by WTI on the terms set forth in the Registration Rights Agreement as amended by this Amendment (the “</w:t>
      </w:r>
      <w:r>
        <w:rPr>
          <w:rFonts w:ascii="Times New Roman;Times;Serif" w:hAnsi="Times New Roman;Times;Serif"/>
          <w:b w:val="false"/>
          <w:i w:val="false"/>
          <w:caps w:val="false"/>
          <w:smallCaps w:val="false"/>
          <w:sz w:val="20"/>
          <w:u w:val="single"/>
        </w:rPr>
        <w:t>Amended Registration Rights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WTI is the Holder of a majority-in-interest of the outstanding Registrable Securities and constitutes the “</w:t>
      </w:r>
      <w:r>
        <w:rPr>
          <w:rFonts w:ascii="Times New Roman;Times;Serif" w:hAnsi="Times New Roman;Times;Serif"/>
          <w:b w:val="false"/>
          <w:i w:val="false"/>
          <w:caps w:val="false"/>
          <w:smallCaps w:val="false"/>
          <w:sz w:val="20"/>
          <w:u w:val="single"/>
        </w:rPr>
        <w:t>Majority Holders</w:t>
      </w:r>
      <w:r>
        <w:rPr>
          <w:rFonts w:ascii="Times New Roman;Times;Serif" w:hAnsi="Times New Roman;Times;Serif"/>
          <w:b w:val="false"/>
          <w:i w:val="false"/>
          <w:caps w:val="false"/>
          <w:smallCaps w:val="false"/>
          <w:sz w:val="20"/>
        </w:rPr>
        <w:t>” for purposes of Section 6(f) of the Registration Rights Agreement, and is authorized to execute this Amendment on behalf of the Holders in accordance with such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agreements and mutual promises and covenants set forth herein,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Addition of New Definitions</w:t>
      </w:r>
      <w:r>
        <w:rPr>
          <w:rFonts w:ascii="Times New Roman;Times;Serif" w:hAnsi="Times New Roman;Times;Serif"/>
          <w:b w:val="false"/>
          <w:i w:val="false"/>
          <w:caps w:val="false"/>
          <w:smallCaps w:val="false"/>
          <w:sz w:val="20"/>
        </w:rPr>
        <w:t>. Section 1 of the Registration Rights Agreement is hereby amended to add the following definitions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Purchase Agreement</w:t>
      </w:r>
      <w:r>
        <w:rPr>
          <w:rFonts w:ascii="Times New Roman;Times;Serif" w:hAnsi="Times New Roman;Times;Serif"/>
          <w:b w:val="false"/>
          <w:i w:val="false"/>
          <w:caps w:val="false"/>
          <w:smallCaps w:val="false"/>
          <w:sz w:val="20"/>
        </w:rPr>
        <w:t>” means that certain Asset Purchase Agreement, dated as of August 17, 2026, by and among Moria Mining, LLC, Winklevoss Treasury Investments, LLC (“</w:t>
      </w:r>
      <w:r>
        <w:rPr>
          <w:rFonts w:ascii="Times New Roman;Times;Serif" w:hAnsi="Times New Roman;Times;Serif"/>
          <w:b w:val="false"/>
          <w:i w:val="false"/>
          <w:caps w:val="false"/>
          <w:smallCaps w:val="false"/>
          <w:sz w:val="20"/>
          <w:u w:val="single"/>
        </w:rPr>
        <w:t>WTI</w:t>
      </w:r>
      <w:r>
        <w:rPr>
          <w:rFonts w:ascii="Times New Roman;Times;Serif" w:hAnsi="Times New Roman;Times;Serif"/>
          <w:b w:val="false"/>
          <w:i w:val="false"/>
          <w:caps w:val="false"/>
          <w:smallCaps w:val="false"/>
          <w:sz w:val="20"/>
        </w:rPr>
        <w:t>”), Cypherpunk Mining LLC, and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APA Warrant</w:t>
      </w:r>
      <w:r>
        <w:rPr>
          <w:rFonts w:ascii="Times New Roman;Times;Serif" w:hAnsi="Times New Roman;Times;Serif"/>
          <w:b w:val="false"/>
          <w:i w:val="false"/>
          <w:caps w:val="false"/>
          <w:smallCaps w:val="false"/>
          <w:sz w:val="20"/>
        </w:rPr>
        <w:t>” means the Pre-Funded Warrant to purchase shares of Common Stock issued by the Company to WTI pursuant to the Asset Purchase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 xml:space="preserve">Amendment of the Definition of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The definition of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set forth in Section 1 of the Registration Rights Agreement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means, as of any date of determination, (a) all Shares issued pursuant to the Purchase Agreement, (b) all Pre-Funded Warrant Shares, (c) all Common Warrant Shares, (d) all shares of Common Stock and any Common Stock issued or issuable upon the exercise or conversion of any other securities (whether equity, debt or otherwise) of the Company now owned or hereafter acquired by the Lead Investor and (e) any securities issued or then issuable upon any stock split, dividend or other distribution, recapitalization or similar event with respect to the foregoing;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and any restrictive legend is removed to permit the delivery of the securities via the facilities of DTC (assuming that such securities and any securities issuable upon exercise, conversion or exchange of which, or as a dividend upon which, such securities were issued or are issuable, were at no time held by any Affiliate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Amendment of Section 3(c)</w:t>
      </w:r>
      <w:r>
        <w:rPr>
          <w:rFonts w:ascii="Times New Roman;Times;Serif" w:hAnsi="Times New Roman;Times;Serif"/>
          <w:b w:val="false"/>
          <w:i w:val="false"/>
          <w:caps w:val="false"/>
          <w:smallCaps w:val="false"/>
          <w:sz w:val="20"/>
        </w:rPr>
        <w:t>. Section 3(c) of the Registration Rights Agreement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    If during the Effectiveness Period, the number of Registrable Securities at any time exceeds 100% of the number of shares of Common Stock then registered in a Registration Statement, then upon written request of the applicable Holder or Holders of such Registrable Securities, the Company shall file as soon as reasonably practicable, but in any case no earlier than the applicable Filing Date, an additional Registration Statement covering the resale by the Holders of not less than such excess number of such Registrable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Amendment shall be governed by and construed in accordance with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Amendment may be executed and delivered in one or more counterparts, each of which shall be deemed an original, but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Titles and Subtitles</w:t>
      </w:r>
      <w:r>
        <w:rPr>
          <w:rFonts w:ascii="Times New Roman;Times;Serif" w:hAnsi="Times New Roman;Times;Serif"/>
          <w:b w:val="false"/>
          <w:i w:val="false"/>
          <w:caps w:val="false"/>
          <w:smallCaps w:val="false"/>
          <w:sz w:val="20"/>
        </w:rPr>
        <w:t>. The titles of the sections and subsections of this Amendment are for convenience of reference only and are not to be considered in construing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In the event one or more of the provisions of this Amendment should, for any reason, be held to be invalid, illegal or unenforceable in any respect, such invalidity, illegality or unenforceability shall not affect any other provisions of this Amendment, and this Amendment shall be construed as if such invalid, illegal or unenforceable provision had never been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No Other Change</w:t>
      </w:r>
      <w:r>
        <w:rPr>
          <w:rFonts w:ascii="Times New Roman;Times;Serif" w:hAnsi="Times New Roman;Times;Serif"/>
          <w:b w:val="false"/>
          <w:i w:val="false"/>
          <w:caps w:val="false"/>
          <w:smallCaps w:val="false"/>
          <w:sz w:val="20"/>
        </w:rPr>
        <w:t>. Except to the extent hereby amended, the terms and provisions of the Registration Rights Agreement shall remain in full force and effect. From and after the date of this Amendment, the Registration Rights Agreement is hereby also amended and modified so that any reference therein to the defined term Agreement shall mean the Registration Rights Agreement as amended by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First Amendment to Registration Rights Agreement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590"/>
        <w:gridCol w:w="2945"/>
      </w:tblGrid>
      <w:tr>
        <w:trPr/>
        <w:tc>
          <w:tcPr>
            <w:tcW w:w="75"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w:t>
            </w:r>
          </w:p>
        </w:tc>
      </w:tr>
      <w:tr>
        <w:trPr/>
        <w:tc>
          <w:tcPr>
            <w:tcW w:w="75"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E. Onsi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tc>
      </w:tr>
    </w:tbl>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First Amendment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First Amendment to Registration Rights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474" w:type="dxa"/>
        <w:jc w:val="left"/>
        <w:tblInd w:w="0" w:type="dxa"/>
        <w:tblLayout w:type="fixed"/>
        <w:tblCellMar>
          <w:top w:w="0" w:type="dxa"/>
          <w:left w:w="0" w:type="dxa"/>
          <w:bottom w:w="0" w:type="dxa"/>
          <w:right w:w="0" w:type="dxa"/>
        </w:tblCellMar>
      </w:tblPr>
      <w:tblGrid>
        <w:gridCol w:w="75"/>
        <w:gridCol w:w="1377"/>
        <w:gridCol w:w="3022"/>
      </w:tblGrid>
      <w:tr>
        <w:trPr/>
        <w:tc>
          <w:tcPr>
            <w:tcW w:w="75"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w:t>
            </w:r>
          </w:p>
        </w:tc>
      </w:tr>
      <w:tr>
        <w:trPr/>
        <w:tc>
          <w:tcPr>
            <w:tcW w:w="75"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WINKLEVOSS TREASURY INVESTMENTS, LLC</w:t>
            </w:r>
          </w:p>
        </w:tc>
      </w:tr>
      <w:tr>
        <w:trPr/>
        <w:tc>
          <w:tcPr>
            <w:tcW w:w="75"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2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2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02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First Amendment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 w:name="tm2623453d1_ex99-1.htm"/>
      <w:bookmarkStart w:id="30" w:name="kstm2623453d1_ex991"/>
      <w:bookmarkEnd w:id="29"/>
      <w:bookmarkEnd w:id="30"/>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36" w:right="36" w:hanging="0"/>
        <w:jc w:val="center"/>
        <w:rPr>
          <w:caps w:val="false"/>
          <w:smallCaps w:val="false"/>
        </w:rPr>
      </w:pPr>
      <w:r>
        <w:rPr>
          <w:caps w:val="false"/>
          <w:smallCaps w:val="false"/>
        </w:rPr>
        <w:t> </w:t>
      </w:r>
    </w:p>
    <w:p>
      <w:pPr>
        <w:pStyle w:val="TextBody"/>
        <w:bidi w:val="0"/>
        <w:spacing w:before="0" w:after="0"/>
        <w:ind w:left="36" w:right="36" w:hanging="0"/>
        <w:jc w:val="center"/>
        <w:rPr>
          <w:caps w:val="false"/>
          <w:smallCaps w:val="false"/>
        </w:rPr>
      </w:pPr>
      <w:r>
        <w:rPr>
          <w:caps w:val="false"/>
          <w:smallCaps w:val="false"/>
        </w:rPr>
        <w:t> </w:t>
      </w:r>
      <w:r>
        <w:rPr>
          <w:caps w:val="false"/>
          <w:smallCaps w:val="false"/>
        </w:rPr>
        <w:drawing>
          <wp:inline distT="0" distB="0" distL="0" distR="0">
            <wp:extent cx="3295650"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95650" cy="733425"/>
                    </a:xfrm>
                    <a:prstGeom prst="rect">
                      <a:avLst/>
                    </a:prstGeom>
                  </pic:spPr>
                </pic:pic>
              </a:graphicData>
            </a:graphic>
          </wp:inline>
        </w:drawing>
      </w:r>
    </w:p>
    <w:p>
      <w:pPr>
        <w:pStyle w:val="TextBody"/>
        <w:bidi w:val="0"/>
        <w:spacing w:before="0" w:after="0"/>
        <w:ind w:left="36" w:right="36"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Launches World's Largest Zcash Mining Fleet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Equity-based transaction with Winklevoss Capital activates 4.2 GSol/s of live, U.S.-based hashrate;  approximately 18% of the Zcash network;</w:t>
        <w:br/>
        <w:t>Industry veteran Kevin Zhang joins as Head of Mining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Cambridge, Mass. – August 18, 2026 –</w:t>
      </w:r>
      <w:r>
        <w:rPr>
          <w:rFonts w:ascii="Times New Roman;Times;Serif" w:hAnsi="Times New Roman;Times;Serif"/>
          <w:b w:val="false"/>
          <w:i w:val="false"/>
          <w:caps w:val="false"/>
          <w:smallCaps w:val="false"/>
          <w:sz w:val="20"/>
        </w:rPr>
        <w:t xml:space="preserve"> Cypherpunk Technologies Inc. (Nasdaq: CYPH) ("Cypherpunk") today announced the launch of Cypherpunk Mining, which is now the largest Zcash mining fleet in the world, through a $33.33 million equity-based transaction with Winklevoss Capital. The fleet is online today, with approximately 4.2 GSol/s of Equihash hashrate deployed across the United States, which currently represents approximately 18% of the total Zcash network.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Up until now, investors have had limited options for Zcash mining exposure. With the acquisition of this mining fleet, Cypherpunk changes that,” said Cameron and Tyler Winklevoss</w:t>
      </w:r>
      <w:r>
        <w:rPr>
          <w:rFonts w:ascii="Times New Roman;Times;Serif" w:hAnsi="Times New Roman;Times;Serif"/>
          <w:b/>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launch, Cypherpunk now offers public market investors exposure to both Zcash mining and treasury upside and continues Cypherpunk's evolution into a diversified privacy technology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expansion of our ZEC treasury and investment in ZODL, Zcash mining is the next piece of the constellation of privacy technologies we're assembling," said Will McEvoy, Chief Investment Officer of Cypherpunk. “The Zcash flow from Cypherpunk Mining provides financial and operational flexibility to fund future growth, the acquisition of additional ZEC, and new privacy-preserving technology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transaction with Winklevoss Capital, Cypherpunk Mining immediately becomes the Zcash network’s largest active fleet, currently deployed across U.S.-based facilities with industry-leading uptimes and hosting rates, accessing an addressable market valued at over $250 million per year at current ZEC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Strengthening Cypherpunk’s Treasury and the Zcash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Mining now stands alongside Cypherpunk's ZEC treasury and its privacy investment strategy anchored by ZODL, the most widely used Zcash wallet. As approximately 43,800 ZEC are awarded to miners each month, mining meaningfully accelerates the company's path to its target of holding 5% of ZEC supply, at production costs that are significantly lower than spot price.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largest corporate holder of ZEC, currently with 323,394.38 ZEC representing approximately 1.92% of the circulating supply, Cypherpunk's incentives are aligned with the network's. The additional mining hashrate and decentralization strengthens Zcash network security, and a more secure Zcash makes Cypherpunk's treasury more valuable. Cypherpunk intends to serve as a bridge between Zcash miners, developers, and the broader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Zhang Joins as Head of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Zhang joins Cypherpunk as Head of Mining, bringing more than a decade of experience at the front lines of Bitcoin and Zcash. Zhang began mining Bitcoin in 2014 and Zcash in 2016, built several of the largest Bitcoin mining facilities in North America, and in 2019 led the first power plant conversion to Bitcoin mining on the continent. At Foundry, he built the largest Bitcoin mining pool in the world and deployed one of the largest crypto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1,440 ZEC is awarded to miners each day, making Zcash mining highly profitable. Even if the Zcash network hashrate increases significantly, Zcash mining still out-earns AI colocation and Bitcoin mining at today's ZEC prices," said Kevin Zhang, Head of Mining at Cypherpunk. "The opportunity in Zcash mining shows a striking similarity to Bitcoin mining in 2016 and provides exciting growth potential for Cypherpunk."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and Cypherpunk Mining LLC (“Cypherpunk Mining”) entered into an Asset Purchase Agreement with Moria Mining LLC and Winklevoss Treasury Investments, LLC pursuant to which Cypherpunk Mining acquired the latest generation Z15 Pro machines with an aggregate hashpower of approximately 4.2 GSol/s along with their related hosting agreements. The aggregate purchase price of $33.33 million was paid for by the issuance of a pre-funded warrant to Winklevoss Treasury Investments, LLC to purchase 43,290,042 shares of common stock of Cypherpunk at an exercise price of $0.001 per share, reflecting a Cypherpunk common stock purchase price of $0.77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Cypherpunk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Technologies is a privacy technology company. The Company's mission is to advance technologies that guarantee privacy for humans on the internet. Cypherpunk pursues this mission through two primary strategies: accumulating Zcash (ZEC); and investing in, acquiring, and building technologies that push the frontier of privacy forward. Additionally, through its subsidiary Leap Therapeutics, the Company is developing novel therapies for patients with cancer, continuing the development of sirexatamab and FL-501. For more information about the Company, visit our websites at http://www.cypherpunk.com and http://www.leaptx.com or view our public filings with the SEC that are available via EDGAR at http://www.sec.gov.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4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40" w:right="4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Section 27A of the Securities Act of 1933, as amended, Section 21E of the Securities Exchange Act of 1934, as amended. These forward-looking statements generally can be identified by the use of words such as "anticipate," "expect," "plan," "could," "may," "will," "believe," "estimate," "forecast," "goal," "project," and other words of similar meaning. Forward-looking statements address various matters including statements relating to the Company’s ZEC mining operations, the hashpower represented by the acquired Z15 Pro machines, the potential Zcash flow or profitability of the Company’s mining operations, the comparative economics or profitability of Zcash mining relative to other digital infrastructure or mining activities, the future hashrate of the Zcash Network, the value of the Company’s ZEC holdings, the Company’s target percentage ownership of the ZEC supply, the expected future market, price, and liquidity of ZEC, the Company’s expected use of Zcash flow or other capital generated by its mining operations, the potential value of the Company’s investment in Zcash Open Development Labs (“ZODL”), the macro and political conditions surrounding Zcash or digital assets, the Company’s plan for value creation and strategic advantages, market size and growth opportunities, regulatory conditions, competitive position and the interest of other corporations in similar business strategies, technological and market trends, and future financial condition and performance. Risks and uncertainties of the Company’s strategy include, among others: (a) risks relating to the Company’s operations and business, including the performance of the Company’s Zcash mining machines and highly volatile nature of the price of ZEC; (b) the risk that material changes in the price of ZEC, such as decreases in price, will result in significant changes to the Company’s financial statements, such as unrealized losses on fair value of ZEC holdings, and reduced net income or increased net loss; (c) the risk that material changes in the hashrate of the Zcash Network, such as increases in hashrate, will result in significant changes to the Company’s financial statements, such as reduced revenue, reduced gross margins, and reduced net income or increased net loss; (d) the risk that the price of the Company’s common stock may be highly correlated to the price of ZEC; (e) the risk that the Company will fail to realize the anticipated benefits of the ZEC mining operation or digital asset treasury strategy; (f) risks related to the custody of our ZEC and our reliance on Gemini Space Station and its affiliates for trading and custody services; (g) changes in business, market, financial, political and regulatory conditions; (h) risks related to increased competition in the industries in which the Company does and will operate; (i) risks relating to significant legal, commercial, regulatory and technical uncertainty regarding digital assets generally; (j) risks relating to the treatment of crypto assets for U.S. and foreign tax purposes; (k) risks related to the Company’s dependence on third-party hosting facilities and service providers for its mining operations; and (l) the Company’s ability to comply with the continued listing requirements of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risks and uncertainties may emerge from time to time, and it is not possible to predict all risks and uncertainties. No representations or warranties (expressed or implied) are made about the accuracy of any such forward-looking statements. The Company may not actually achieve the forecasts disclosed in such forward-looking statements, and you should not place undue reliance on such forward-looking statements. Such forward-looking statements are subject to a number of material risks and uncertainties including but not limited to those set forth under the caption "Risk Factors" in the Company’s most recent Annual Report on Form 10-K filed with the SEC, or as may be included in other reports or information we file with the SEC, as well as discussions of potential risks, uncertainties, and other important factors in its subsequent filings with the SEC. Any forward-looking statement speaks only as of the date on which it was made. Neither the Company, nor any of its affiliates, advisors or representatives, undertake any obligation to publicly update or revise any forward-looking statement, whether as a result of new information, future events or otherwise, except as required by law. These forward-looking statements should not be relied upon as representing the Company’s views as of any date subsequent to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4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40" w:right="40" w:hanging="0"/>
        <w:jc w:val="both"/>
        <w:rPr>
          <w:caps w:val="false"/>
          <w:smallCaps w:val="false"/>
        </w:rPr>
      </w:pPr>
      <w:r>
        <w:rPr>
          <w:caps w:val="false"/>
          <w:smallCaps w:val="false"/>
        </w:rPr>
        <w:t> </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E. Onsi</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Technologies Inc.</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617-714-0360</w:t>
      </w:r>
    </w:p>
    <w:p>
      <w:pPr>
        <w:pStyle w:val="TextBody"/>
        <w:bidi w:val="0"/>
        <w:spacing w:before="0" w:after="0"/>
        <w:ind w:left="40" w:right="40" w:hanging="0"/>
        <w:jc w:val="both"/>
        <w:rPr>
          <w:caps w:val="false"/>
          <w:smallCaps w:val="false"/>
        </w:rPr>
      </w:pPr>
      <w:r>
        <w:rPr>
          <w:caps w:val="false"/>
          <w:smallCaps w:val="false"/>
        </w:rPr>
        <w:t> </w:t>
      </w:r>
    </w:p>
    <w:p>
      <w:pPr>
        <w:pStyle w:val="TextBody"/>
        <w:bidi w:val="0"/>
        <w:spacing w:before="0" w:after="0"/>
        <w:ind w:left="40" w:right="4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w:t>
      </w:r>
    </w:p>
    <w:p>
      <w:pPr>
        <w:pStyle w:val="TextBody"/>
        <w:bidi w:val="0"/>
        <w:spacing w:before="0" w:after="0"/>
        <w:ind w:left="40" w:right="40" w:hanging="0"/>
        <w:jc w:val="both"/>
        <w:rPr>
          <w:caps w:val="false"/>
          <w:smallCaps w:val="false"/>
        </w:rPr>
      </w:pPr>
      <w:r>
        <w:rPr>
          <w:caps w:val="false"/>
          <w:smallCaps w:val="false"/>
        </w:rPr>
        <w:t> </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DeYoung</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212-600-1902</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leap@argotpartners.com</w:t>
      </w:r>
    </w:p>
    <w:p>
      <w:pPr>
        <w:pStyle w:val="TextBody"/>
        <w:bidi w:val="0"/>
        <w:spacing w:before="0" w:after="0"/>
        <w:ind w:left="40" w:right="40" w:hanging="0"/>
        <w:jc w:val="both"/>
        <w:rPr>
          <w:caps w:val="false"/>
          <w:smallCaps w:val="false"/>
        </w:rPr>
      </w:pPr>
      <w:r>
        <w:rPr>
          <w:caps w:val="false"/>
          <w:smallCaps w:val="false"/>
        </w:rPr>
        <w:t> </w:t>
      </w:r>
    </w:p>
    <w:p>
      <w:pPr>
        <w:pStyle w:val="TextBody"/>
        <w:bidi w:val="0"/>
        <w:spacing w:before="0" w:after="0"/>
        <w:ind w:left="40" w:right="4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w:t>
      </w:r>
    </w:p>
    <w:p>
      <w:pPr>
        <w:pStyle w:val="TextBody"/>
        <w:bidi w:val="0"/>
        <w:spacing w:before="0" w:after="0"/>
        <w:ind w:left="40" w:right="40" w:hanging="0"/>
        <w:jc w:val="both"/>
        <w:rPr>
          <w:caps w:val="false"/>
          <w:smallCaps w:val="false"/>
        </w:rPr>
      </w:pPr>
      <w:r>
        <w:rPr>
          <w:caps w:val="false"/>
          <w:smallCaps w:val="false"/>
        </w:rPr>
        <w:t> </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Ortiz Ramsay</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Factor Strategies</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954-294-3249</w:t>
      </w:r>
    </w:p>
    <w:p>
      <w:pPr>
        <w:pStyle w:val="TextBody"/>
        <w:bidi w:val="0"/>
        <w:spacing w:before="0" w:after="0"/>
        <w:ind w:left="4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jacqueline@itfactorstrategies.com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29133</Words>
  <Characters>154554</Characters>
  <CharactersWithSpaces>185285</CharactersWithSpaces>
  <Paragraphs>1409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