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tm2625876d1_8k.htm"/>
      <w:bookmarkStart w:id="1" w:name="kstm2625876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4_edei--DocumentType_c20260922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September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20240" cy="4387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0240" cy="43878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1_edei--EntityRegistrantName_c2026"/>
      <w:bookmarkEnd w:id="4"/>
      <w:r>
        <w:rPr>
          <w:rFonts w:ascii="Times New Roman;Times;Serif" w:hAnsi="Times New Roman;Times;Serif"/>
          <w:b/>
          <w:i w:val="false"/>
          <w:caps w:val="false"/>
          <w:smallCaps w:val="false"/>
          <w:sz w:val="28"/>
        </w:rPr>
        <w:t>Cypherpunk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2255"/>
        <w:gridCol w:w="60"/>
        <w:gridCol w:w="1340"/>
        <w:gridCol w:w="60"/>
        <w:gridCol w:w="1775"/>
      </w:tblGrid>
      <w:tr>
        <w:trPr/>
        <w:tc>
          <w:tcPr>
            <w:tcW w:w="2255"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b/>
                <w:sz w:val="20"/>
              </w:rPr>
            </w:pPr>
            <w:bookmarkStart w:id="6" w:name="xdx_905_edei--EntityFileNumber_c20260922"/>
            <w:bookmarkEnd w:id="6"/>
            <w:r>
              <w:rPr>
                <w:b/>
                <w:sz w:val="20"/>
              </w:rPr>
              <w:t>001-37990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9_edei--EntityTaxIdentificationNum"/>
            <w:bookmarkEnd w:id="7"/>
            <w:r>
              <w:rPr>
                <w:b/>
                <w:sz w:val="20"/>
              </w:rPr>
              <w:t>27-4412575</w:t>
            </w:r>
          </w:p>
        </w:tc>
      </w:tr>
      <w:tr>
        <w:trPr/>
        <w:tc>
          <w:tcPr>
            <w:tcW w:w="2255" w:type="dxa"/>
            <w:tcBorders/>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 xml:space="preserve">(Commission </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47 Thorndike Street, </w:t>
      </w:r>
      <w:bookmarkStart w:id="9" w:name="xdx_906_edei--EntityAddressAddressLine2_"/>
      <w:bookmarkEnd w:id="9"/>
      <w:r>
        <w:rPr>
          <w:rFonts w:ascii="Times New Roman;Times;Serif" w:hAnsi="Times New Roman;Times;Serif"/>
          <w:b/>
          <w:i w:val="false"/>
          <w:caps w:val="false"/>
          <w:smallCaps w:val="false"/>
          <w:sz w:val="20"/>
        </w:rPr>
        <w:t>Suite B1-1</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Cambridge, </w:t>
      </w:r>
      <w:bookmarkStart w:id="11" w:name="xdx_90A_edei--EntityAddressStateOrProvin"/>
      <w:bookmarkEnd w:id="11"/>
      <w:r>
        <w:rPr>
          <w:rFonts w:ascii="Times New Roman;Times;Serif" w:hAnsi="Times New Roman;Times;Serif"/>
          <w:b/>
          <w:i w:val="false"/>
          <w:caps w:val="false"/>
          <w:smallCaps w:val="false"/>
          <w:sz w:val="20"/>
        </w:rPr>
        <w:t xml:space="preserve">MA </w:t>
      </w:r>
      <w:bookmarkStart w:id="12" w:name="xdx_90B_edei--EntityAddressPostalZipCode"/>
      <w:bookmarkEnd w:id="12"/>
      <w:r>
        <w:rPr>
          <w:rFonts w:ascii="Times New Roman;Times;Serif" w:hAnsi="Times New Roman;Times;Serif"/>
          <w:b/>
          <w:i w:val="false"/>
          <w:caps w:val="false"/>
          <w:smallCaps w:val="false"/>
          <w:sz w:val="20"/>
        </w:rPr>
        <w:t>02141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E_edei--CityAreaCode_c20260922__20"/>
      <w:bookmarkEnd w:id="13"/>
      <w:r>
        <w:rPr>
          <w:rFonts w:ascii="Times New Roman;Times;Serif" w:hAnsi="Times New Roman;Times;Serif"/>
          <w:b/>
          <w:i w:val="false"/>
          <w:caps w:val="false"/>
          <w:smallCaps w:val="false"/>
          <w:sz w:val="20"/>
        </w:rPr>
        <w:t xml:space="preserve">617) </w:t>
      </w:r>
      <w:bookmarkStart w:id="14" w:name="xdx_90B_edei--LocalPhoneNumber_c20260922"/>
      <w:bookmarkEnd w:id="14"/>
      <w:r>
        <w:rPr>
          <w:rFonts w:ascii="Times New Roman;Times;Serif" w:hAnsi="Times New Roman;Times;Serif"/>
          <w:b/>
          <w:i w:val="false"/>
          <w:caps w:val="false"/>
          <w:smallCaps w:val="false"/>
          <w:sz w:val="20"/>
        </w:rPr>
        <w:t>714-0360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center"/>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9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A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6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center"/>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sz w:val="20"/>
              </w:rPr>
            </w:pPr>
            <w:bookmarkStart w:id="19" w:name="xdx_90F_edei--Security12bTitle_c20260922"/>
            <w:bookmarkEnd w:id="19"/>
            <w:r>
              <w:rPr>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4_edei--TradingSymbol_c20260922__2"/>
            <w:bookmarkEnd w:id="20"/>
            <w:r>
              <w:rPr>
                <w:sz w:val="20"/>
              </w:rPr>
              <w:t>CYPH</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r>
              <w:rPr>
                <w:sz w:val="20"/>
              </w:rPr>
              <w:t xml:space="preserve">The </w:t>
            </w:r>
            <w:bookmarkStart w:id="21" w:name="xdx_901_edei--SecurityExchangeName_c2026"/>
            <w:bookmarkEnd w:id="21"/>
            <w:r>
              <w:rPr>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31"/>
        <w:gridCol w:w="9474"/>
      </w:tblGrid>
      <w:tr>
        <w:trPr/>
        <w:tc>
          <w:tcPr>
            <w:tcW w:w="73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7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the Board of Directors (the “Board”) of Cypherpunk Technologies Inc. (the “Company”) appointed Amanda Fabiano to serve as a Class III director on the Board, effective immediately. Mrs. Fabiano will serve as a director until the 2029 Annual Meeting of Stockholders and her successor has been elected and qualified, or until her earlier resignation, death or removal. Mrs. Fabiano has not been appointed to any committees of the Board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herein, there are no arrangements or understandings between Mrs. Fabiano and any other person pursuant to which she was elected as a director, and Mrs. Fabiano is not a party to any transaction with the Company that would require disclosure under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Mrs. Fabiano’s compensation for services as a director will be consistent with that of the other non-employee directors of the Company, as described under “Director Compensation” in the Company’s definitive proxy statement with respect to the 2026 Annual Meeting of Stockholders, filed with the Securities and Exchange Commission on April 29, 2026, as may be amended from time to time by the Board. In addition, Ms. Fabiano will be entitled to receive restricted stock unit (“RSU”) awards representing 250,000 shares of common stock, representing an initial grant for joining the Board of 150,000 shares (the “Initial Grant”) and an annual grant for service from 2026 to 2027 (the “Annual Grant”). The Initial Grant RSU will vest and settle in annual increments over a 3 year period. The Annual Grant will vest and settle at the time of the 2027 Annual Meeting of Stockholders in June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the Company and Mrs. Fabiano also entered into a director and officer indemnification agreement (the “Indemnification Agreement”). A copy of the form of the Indemnification Agreement is filed herewith as Exhibit 10.1, and is incorporated herein by reference. The foregoing description of the Indemnification Agreement does not purport to be complete and is qualified in its entirety by reference to the full text of the Indemnification Agreement, a copy of which is filed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 press release announcing the appointment of Mrs. Fabiano to the Board on September 22, 2026. The full text of the press release is attached hereto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shd w:fill="FFFFFF" w:val="clear"/>
        <w:tblLayout w:type="fixed"/>
        <w:tblCellMar>
          <w:top w:w="0" w:type="dxa"/>
          <w:left w:w="0" w:type="dxa"/>
          <w:bottom w:w="0" w:type="dxa"/>
          <w:right w:w="0" w:type="dxa"/>
        </w:tblCellMar>
      </w:tblPr>
      <w:tblGrid>
        <w:gridCol w:w="830"/>
        <w:gridCol w:w="2195"/>
      </w:tblGrid>
      <w:tr>
        <w:trPr/>
        <w:tc>
          <w:tcPr>
            <w:tcW w:w="83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1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the Company issued a press release announcing Mrs. Fabiano’s appointment to the Board.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of this Current Report on Form 8-K, is intended to be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shd w:fill="FFFFFF" w:val="clear"/>
        <w:tblLayout w:type="fixed"/>
        <w:tblCellMar>
          <w:top w:w="0" w:type="dxa"/>
          <w:left w:w="0" w:type="dxa"/>
          <w:bottom w:w="0" w:type="dxa"/>
          <w:right w:w="0" w:type="dxa"/>
        </w:tblCellMar>
      </w:tblPr>
      <w:tblGrid>
        <w:gridCol w:w="830"/>
        <w:gridCol w:w="2960"/>
      </w:tblGrid>
      <w:tr>
        <w:trPr/>
        <w:tc>
          <w:tcPr>
            <w:tcW w:w="83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995"/>
        <w:gridCol w:w="7685"/>
      </w:tblGrid>
      <w:tr>
        <w:trPr/>
        <w:tc>
          <w:tcPr>
            <w:tcW w:w="995" w:type="dxa"/>
            <w:tcBorders/>
            <w:vAlign w:val="center"/>
          </w:tcPr>
          <w:p>
            <w:pPr>
              <w:pStyle w:val="TableContents"/>
              <w:bidi w:val="0"/>
              <w:spacing w:before="0" w:after="283"/>
              <w:jc w:val="left"/>
              <w:rPr>
                <w:b/>
                <w:sz w:val="20"/>
              </w:rPr>
            </w:pPr>
            <w:r>
              <w:rPr>
                <w:b/>
                <w:sz w:val="20"/>
              </w:rPr>
              <w:t>Exhibit No.</w:t>
            </w:r>
          </w:p>
        </w:tc>
        <w:tc>
          <w:tcPr>
            <w:tcW w:w="7685" w:type="dxa"/>
            <w:tcBorders/>
            <w:vAlign w:val="center"/>
          </w:tcPr>
          <w:p>
            <w:pPr>
              <w:pStyle w:val="TableContents"/>
              <w:bidi w:val="0"/>
              <w:spacing w:before="0" w:after="283"/>
              <w:jc w:val="both"/>
              <w:rPr>
                <w:b/>
              </w:rPr>
            </w:pPr>
            <w:r>
              <w:rPr>
                <w:b/>
              </w:rPr>
              <w:t>Description</w:t>
            </w:r>
          </w:p>
        </w:tc>
      </w:tr>
      <w:tr>
        <w:trPr/>
        <w:tc>
          <w:tcPr>
            <w:tcW w:w="995" w:type="dxa"/>
            <w:tcBorders/>
            <w:vAlign w:val="center"/>
          </w:tcPr>
          <w:p>
            <w:pPr>
              <w:pStyle w:val="TableContents"/>
              <w:bidi w:val="0"/>
              <w:spacing w:before="0" w:after="283"/>
              <w:jc w:val="left"/>
              <w:rPr/>
            </w:pPr>
            <w:hyperlink w:anchor="tm2625876d1_ex10-1.htm">
              <w:r>
                <w:rPr>
                  <w:rStyle w:val="InternetLink"/>
                </w:rPr>
                <w:t>10.1</w:t>
              </w:r>
            </w:hyperlink>
          </w:p>
        </w:tc>
        <w:tc>
          <w:tcPr>
            <w:tcW w:w="7685" w:type="dxa"/>
            <w:tcBorders/>
            <w:vAlign w:val="center"/>
          </w:tcPr>
          <w:p>
            <w:pPr>
              <w:pStyle w:val="TableContents"/>
              <w:bidi w:val="0"/>
              <w:spacing w:before="0" w:after="283"/>
              <w:jc w:val="both"/>
              <w:rPr/>
            </w:pPr>
            <w:hyperlink w:anchor="tm2625876d1_ex10-1.htm">
              <w:r>
                <w:rPr>
                  <w:rStyle w:val="InternetLink"/>
                </w:rPr>
                <w:t>Form of Indemnification Agreement.</w:t>
              </w:r>
            </w:hyperlink>
          </w:p>
        </w:tc>
      </w:tr>
      <w:tr>
        <w:trPr/>
        <w:tc>
          <w:tcPr>
            <w:tcW w:w="995" w:type="dxa"/>
            <w:tcBorders/>
            <w:vAlign w:val="center"/>
          </w:tcPr>
          <w:p>
            <w:pPr>
              <w:pStyle w:val="TableContents"/>
              <w:bidi w:val="0"/>
              <w:spacing w:before="0" w:after="283"/>
              <w:jc w:val="left"/>
              <w:rPr/>
            </w:pPr>
            <w:hyperlink w:anchor="tm2625876d1_ex99-1.htm">
              <w:r>
                <w:rPr>
                  <w:rStyle w:val="InternetLink"/>
                </w:rPr>
                <w:t>99.1</w:t>
              </w:r>
            </w:hyperlink>
          </w:p>
        </w:tc>
        <w:tc>
          <w:tcPr>
            <w:tcW w:w="7685" w:type="dxa"/>
            <w:tcBorders/>
            <w:vAlign w:val="center"/>
          </w:tcPr>
          <w:p>
            <w:pPr>
              <w:pStyle w:val="TableContents"/>
              <w:bidi w:val="0"/>
              <w:spacing w:before="0" w:after="283"/>
              <w:jc w:val="both"/>
              <w:rPr/>
            </w:pPr>
            <w:hyperlink w:anchor="tm2625876d1_ex99-1.htm">
              <w:r>
                <w:rPr>
                  <w:rStyle w:val="InternetLink"/>
                </w:rPr>
                <w:t>Press Release, dated September 22, 2026 (Fabiano Appointment).</w:t>
              </w:r>
            </w:hyperlink>
          </w:p>
        </w:tc>
      </w:tr>
      <w:tr>
        <w:trPr/>
        <w:tc>
          <w:tcPr>
            <w:tcW w:w="995" w:type="dxa"/>
            <w:tcBorders/>
            <w:vAlign w:val="center"/>
          </w:tcPr>
          <w:p>
            <w:pPr>
              <w:pStyle w:val="TableContents"/>
              <w:bidi w:val="0"/>
              <w:spacing w:before="0" w:after="283"/>
              <w:jc w:val="left"/>
              <w:rPr>
                <w:sz w:val="20"/>
              </w:rPr>
            </w:pPr>
            <w:r>
              <w:rPr>
                <w:sz w:val="20"/>
              </w:rPr>
              <w:t>104</w:t>
            </w:r>
          </w:p>
        </w:tc>
        <w:tc>
          <w:tcPr>
            <w:tcW w:w="7685"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2510"/>
        <w:gridCol w:w="4355"/>
      </w:tblGrid>
      <w:tr>
        <w:trPr/>
        <w:tc>
          <w:tcPr>
            <w:tcW w:w="2510" w:type="dxa"/>
            <w:tcBorders/>
            <w:vAlign w:val="center"/>
          </w:tcPr>
          <w:p>
            <w:pPr>
              <w:pStyle w:val="TableContents"/>
              <w:bidi w:val="0"/>
              <w:spacing w:before="0" w:after="283"/>
              <w:jc w:val="both"/>
              <w:rPr/>
            </w:pPr>
            <w:r>
              <w:rPr/>
              <w:t> </w:t>
            </w:r>
          </w:p>
        </w:tc>
        <w:tc>
          <w:tcPr>
            <w:tcW w:w="4355" w:type="dxa"/>
            <w:tcBorders/>
            <w:vAlign w:val="center"/>
          </w:tcPr>
          <w:p>
            <w:pPr>
              <w:pStyle w:val="TableContents"/>
              <w:bidi w:val="0"/>
              <w:spacing w:before="0" w:after="283"/>
              <w:jc w:val="both"/>
              <w:rPr>
                <w:b/>
              </w:rPr>
            </w:pPr>
            <w:r>
              <w:rPr>
                <w:b/>
              </w:rPr>
              <w:t>CYPHERPUNK TECHNOLOGIES INC.</w:t>
            </w:r>
          </w:p>
        </w:tc>
      </w:tr>
      <w:tr>
        <w:trPr/>
        <w:tc>
          <w:tcPr>
            <w:tcW w:w="2510" w:type="dxa"/>
            <w:tcBorders/>
            <w:vAlign w:val="center"/>
          </w:tcPr>
          <w:p>
            <w:pPr>
              <w:pStyle w:val="TableContents"/>
              <w:bidi w:val="0"/>
              <w:spacing w:before="0" w:after="283"/>
              <w:jc w:val="both"/>
              <w:rPr/>
            </w:pPr>
            <w:r>
              <w:rPr/>
              <w:t> </w:t>
            </w:r>
          </w:p>
        </w:tc>
        <w:tc>
          <w:tcPr>
            <w:tcW w:w="4355" w:type="dxa"/>
            <w:tcBorders/>
            <w:vAlign w:val="center"/>
          </w:tcPr>
          <w:p>
            <w:pPr>
              <w:pStyle w:val="TableContents"/>
              <w:bidi w:val="0"/>
              <w:spacing w:before="0" w:after="283"/>
              <w:jc w:val="both"/>
              <w:rPr/>
            </w:pPr>
            <w:r>
              <w:rPr/>
              <w:t> </w:t>
            </w:r>
          </w:p>
        </w:tc>
      </w:tr>
      <w:tr>
        <w:trPr/>
        <w:tc>
          <w:tcPr>
            <w:tcW w:w="2510" w:type="dxa"/>
            <w:tcBorders/>
            <w:vAlign w:val="center"/>
          </w:tcPr>
          <w:p>
            <w:pPr>
              <w:pStyle w:val="TableContents"/>
              <w:bidi w:val="0"/>
              <w:spacing w:before="0" w:after="283"/>
              <w:jc w:val="both"/>
              <w:rPr/>
            </w:pPr>
            <w:r>
              <w:rPr/>
              <w:t>Date: September 22, 2026</w:t>
            </w:r>
          </w:p>
        </w:tc>
        <w:tc>
          <w:tcPr>
            <w:tcW w:w="4355" w:type="dxa"/>
            <w:tcBorders>
              <w:bottom w:val="single" w:sz="8" w:space="0" w:color="000000"/>
            </w:tcBorders>
            <w:tcMar>
              <w:bottom w:w="28" w:type="dxa"/>
            </w:tcMar>
            <w:vAlign w:val="center"/>
          </w:tcPr>
          <w:p>
            <w:pPr>
              <w:pStyle w:val="TableContents"/>
              <w:bidi w:val="0"/>
              <w:spacing w:before="0" w:after="283"/>
              <w:jc w:val="both"/>
              <w:rPr/>
            </w:pPr>
            <w:r>
              <w:rPr/>
              <w:t>/s/ Douglas E. Onsi</w:t>
            </w:r>
          </w:p>
        </w:tc>
      </w:tr>
      <w:tr>
        <w:trPr/>
        <w:tc>
          <w:tcPr>
            <w:tcW w:w="2510" w:type="dxa"/>
            <w:tcBorders/>
            <w:vAlign w:val="center"/>
          </w:tcPr>
          <w:p>
            <w:pPr>
              <w:pStyle w:val="TableContents"/>
              <w:bidi w:val="0"/>
              <w:spacing w:before="0" w:after="283"/>
              <w:jc w:val="both"/>
              <w:rPr/>
            </w:pPr>
            <w:r>
              <w:rPr/>
              <w:t> </w:t>
            </w:r>
          </w:p>
        </w:tc>
        <w:tc>
          <w:tcPr>
            <w:tcW w:w="4355" w:type="dxa"/>
            <w:tcBorders/>
            <w:vAlign w:val="center"/>
          </w:tcPr>
          <w:p>
            <w:pPr>
              <w:pStyle w:val="TableContents"/>
              <w:bidi w:val="0"/>
              <w:spacing w:before="0" w:after="283"/>
              <w:jc w:val="both"/>
              <w:rPr/>
            </w:pPr>
            <w:r>
              <w:rPr/>
              <w:t>Douglas E. Onsi</w:t>
            </w:r>
          </w:p>
        </w:tc>
      </w:tr>
      <w:tr>
        <w:trPr/>
        <w:tc>
          <w:tcPr>
            <w:tcW w:w="2510" w:type="dxa"/>
            <w:tcBorders/>
            <w:vAlign w:val="center"/>
          </w:tcPr>
          <w:p>
            <w:pPr>
              <w:pStyle w:val="TableContents"/>
              <w:bidi w:val="0"/>
              <w:spacing w:before="0" w:after="283"/>
              <w:jc w:val="both"/>
              <w:rPr/>
            </w:pPr>
            <w:r>
              <w:rPr/>
              <w:t> </w:t>
            </w:r>
          </w:p>
        </w:tc>
        <w:tc>
          <w:tcPr>
            <w:tcW w:w="4355" w:type="dxa"/>
            <w:tcBorders/>
            <w:vAlign w:val="center"/>
          </w:tcPr>
          <w:p>
            <w:pPr>
              <w:pStyle w:val="TableContents"/>
              <w:bidi w:val="0"/>
              <w:spacing w:before="0" w:after="283"/>
              <w:jc w:val="both"/>
              <w:rPr/>
            </w:pPr>
            <w:r>
              <w:rPr/>
              <w:t>President &amp; CEO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3" w:name="tm2625876d1_ex10-1.htm"/>
      <w:bookmarkStart w:id="24" w:name="kstm2625876d1_ex101"/>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INDEMNIFICATION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made and entered into as of September __, 2026 between </w:t>
      </w:r>
      <w:r>
        <w:rPr>
          <w:rFonts w:ascii="Times New Roman;Times;Serif" w:hAnsi="Times New Roman;Times;Serif"/>
          <w:b/>
          <w:i w:val="false"/>
          <w:caps w:val="false"/>
          <w:smallCaps w:val="false"/>
          <w:sz w:val="20"/>
        </w:rPr>
        <w:t>Cypherpunk Technologies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person whose name appears on the signature page hereto (“</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highly competent persons have become more reluctant to serve corporations as directors or in other capacities unless they are provided with adequate protection through insurance or adequate indemnification against inordinate risks of claims and actions against them arising out of their service to and activities on behalf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and Certificate of Incorporation of the Company require indemnification of the officers and directors of the Company. Indemnitee may also be entitled to indemnification pursuant to the General Corporation Law of the State of Delaware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The Bylaws, Certificate of Incorporation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uncertainties relating to such insurance and to indemnification have increased the difficulty of attracting and retaining such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Agreement is a supplement to and in furtherance of the Bylaws and Certificate of Incorporation of the Company and any resolutions adopted pursuant thereto, and shall not be deemed a substitute therefor, nor to diminish or abrogate any rights of Indemnitee thereunder;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Indemnitee does not regard the protection available under the Company's Bylaws and Certificate of Incorporation and insurance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be so indemnified;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Indemnitee may have certain rights to indemnification and/or insurance provided by one or more third parties, which third parties and Indemnitee intend to be secondary to the primary obligation of the Company to indemnify Indemnitee as provided herein, with the Company’s acknowledgement and agreement to the foregoing being a material condition to Indemnitee’s willingness to serve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Indemnitee’s agreement to serve as a director from and after the date hereof,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Indemnity of Indemnitee</w:t>
      </w:r>
      <w:r>
        <w:rPr>
          <w:rFonts w:ascii="Times New Roman;Times;Serif" w:hAnsi="Times New Roman;Times;Serif"/>
          <w:b w:val="false"/>
          <w:i w:val="false"/>
          <w:caps w:val="false"/>
          <w:smallCaps w:val="false"/>
          <w:sz w:val="20"/>
        </w:rPr>
        <w:t>. The Company hereby agrees to hold harmless and indemnify Indemnitee to the fullest extent permitted by law, as such may be amended from time to time. In furtherance of the foregoing indemnification, and without limiting the generality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Proceedings Other Than Proceedings by or in the Right of the Company</w:t>
      </w:r>
      <w:r>
        <w:rPr>
          <w:rFonts w:ascii="Times New Roman;Times;Serif" w:hAnsi="Times New Roman;Times;Serif"/>
          <w:b w:val="false"/>
          <w:i w:val="false"/>
          <w:caps w:val="false"/>
          <w:smallCaps w:val="false"/>
          <w:sz w:val="20"/>
        </w:rPr>
        <w:t xml:space="preserve">. Indemnitee shall be entitled to the rights of indemnification provided in this </w:t>
      </w:r>
      <w:r>
        <w:rPr>
          <w:rFonts w:ascii="Times New Roman;Times;Serif" w:hAnsi="Times New Roman;Times;Serif"/>
          <w:b w:val="false"/>
          <w:i w:val="false"/>
          <w:caps w:val="false"/>
          <w:smallCaps w:val="false"/>
          <w:sz w:val="20"/>
          <w:u w:val="single"/>
        </w:rPr>
        <w:t>Section l(a)</w:t>
      </w:r>
      <w:r>
        <w:rPr>
          <w:rFonts w:ascii="Times New Roman;Times;Serif" w:hAnsi="Times New Roman;Times;Serif"/>
          <w:b w:val="false"/>
          <w:i w:val="false"/>
          <w:caps w:val="false"/>
          <w:smallCaps w:val="false"/>
          <w:sz w:val="20"/>
        </w:rPr>
        <w:t xml:space="preserve"> if, by reason of his Corporate Status (as hereinafter defined), the Indemnitee is, or is threatened to be made, a party to or participant in any Proceeding (as hereinafter defined) other than a Proceeding by or in the right of the Company. Pursuant to this </w:t>
      </w:r>
      <w:r>
        <w:rPr>
          <w:rFonts w:ascii="Times New Roman;Times;Serif" w:hAnsi="Times New Roman;Times;Serif"/>
          <w:b w:val="false"/>
          <w:i w:val="false"/>
          <w:caps w:val="false"/>
          <w:smallCaps w:val="false"/>
          <w:sz w:val="20"/>
          <w:u w:val="single"/>
        </w:rPr>
        <w:t>Section 1(a)</w:t>
      </w:r>
      <w:r>
        <w:rPr>
          <w:rFonts w:ascii="Times New Roman;Times;Serif" w:hAnsi="Times New Roman;Times;Serif"/>
          <w:b w:val="false"/>
          <w:i w:val="false"/>
          <w:caps w:val="false"/>
          <w:smallCaps w:val="false"/>
          <w:sz w:val="20"/>
        </w:rPr>
        <w:t>, Indemnitee shall be indemnified against all Expenses (as hereinafter defined), judgments, penalties, fines and amounts paid in settlement actually and reasonably incurred by him, or on his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Proceedings by or in the Right of the Company</w:t>
      </w:r>
      <w:r>
        <w:rPr>
          <w:rFonts w:ascii="Times New Roman;Times;Serif" w:hAnsi="Times New Roman;Times;Serif"/>
          <w:b w:val="false"/>
          <w:i w:val="false"/>
          <w:caps w:val="false"/>
          <w:smallCaps w:val="false"/>
          <w:sz w:val="20"/>
        </w:rPr>
        <w:t xml:space="preserve">. Indemnitee shall be entitled to the rights of indemnification provided in this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if, by reason of his Corporate Status, the Indemnitee is, or is threatened to be made, a party to or participant in any Proceeding brought by or in the right of the Company. Pursuant to this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Indemnification for Expenses of a Party Who is Wholly or Partly Successful</w:t>
      </w:r>
      <w:r>
        <w:rPr>
          <w:rFonts w:ascii="Times New Roman;Times;Serif" w:hAnsi="Times New Roman;Times;Serif"/>
          <w:b w:val="false"/>
          <w:i w:val="false"/>
          <w:caps w:val="false"/>
          <w:smallCaps w:val="false"/>
          <w:sz w:val="20"/>
        </w:rPr>
        <w:t>. Notwithstanding any other provision of this Agreement, to the extent that Indemnitee is, by reason of his Corporate Status, a party to and is successful, on the merits or otherwise, in any Proceeding, he shall be indemnified to the maximum extent permitted by law, as such may be amended from time to time,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Additional Indemnity</w:t>
      </w:r>
      <w:r>
        <w:rPr>
          <w:rFonts w:ascii="Times New Roman;Times;Serif" w:hAnsi="Times New Roman;Times;Serif"/>
          <w:b w:val="false"/>
          <w:i w:val="false"/>
          <w:caps w:val="false"/>
          <w:smallCaps w:val="false"/>
          <w:sz w:val="20"/>
        </w:rPr>
        <w:t xml:space="preserve">. In addition to, and without regard to any limitations on, the indemnification provided for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Agreement, the Company shall and hereby does indemnify and hold harmless Indemnitee against all Expenses, judgments, penalties, fines and amounts paid in settlement actually and reasonably incurred by him or on his behalf if, by reason of his Corporate Status, 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Times;Serif" w:hAnsi="Times New Roman;Times;Serif"/>
          <w:b w:val="false"/>
          <w:i w:val="false"/>
          <w:caps w:val="false"/>
          <w:smallCaps w:val="false"/>
          <w:sz w:val="20"/>
          <w:u w:val="single"/>
        </w:rPr>
        <w:t>Sections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hereof) to be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Whether or not the indemnification provided in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events that resulted in such expenses, judgments, fines or settlement amounts, as well as any other equitable considerations which the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hereby agrees to fully indemnify and hold Indemnitee harmless from any claims of contribution which may be brought by officers, directors or employees of the Company, other than Indemnitee, who may be jointly liable with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Indemnification for Expenses of a Witness</w:t>
      </w:r>
      <w:r>
        <w:rPr>
          <w:rFonts w:ascii="Times New Roman;Times;Serif" w:hAnsi="Times New Roman;Times;Serif"/>
          <w:b w:val="false"/>
          <w:i w:val="false"/>
          <w:caps w:val="false"/>
          <w:smallCaps w:val="false"/>
          <w:sz w:val="20"/>
        </w:rPr>
        <w:t>. 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shall be unsecured and interest free.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Procedures and Presumptions for Determination of Entitlement to Indemnification</w:t>
      </w:r>
      <w:r>
        <w:rPr>
          <w:rFonts w:ascii="Times New Roman;Times;Serif" w:hAnsi="Times New Roman;Times;Serif"/>
          <w:b w:val="false"/>
          <w:i w:val="false"/>
          <w:caps w:val="false"/>
          <w:smallCaps w:val="false"/>
          <w:sz w:val="20"/>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of Directors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written request by Indemnitee for indemnification pursuant to the first sentence of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hereof, a determination with respect to Indemnitee’s entitlement thereto shall be made in the specific case by one of the following four methods, which shall be at the election of the board: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legal counsel in a written opinion to the Board of Directors, a copy of which shall be delivered to the Indemnitee, or (4) if so directed by the Board of Directors, by the stockholders of the Company. For purposes hereof, disinterested directors are those members of the board of directors of the Company who are not parties to the action, suit or proceeding in respect of which indemnification is sought by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determination of entitlement to indemnification is to be made by Independent Counsel pursuant to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hereof, the Independent Counsel shall be selected as provided in this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The Independent Counsel shall be selected by the Board of Directors. Indemnitee may, within 10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Times New Roman;Times;Serif" w:hAnsi="Times New Roman;Times;Serif"/>
          <w:b/>
          <w:i w:val="false"/>
          <w:caps w:val="false"/>
          <w:smallCaps w:val="false"/>
          <w:sz w:val="20"/>
        </w:rPr>
        <w:t>Independent Counsel</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pursuant to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xml:space="preserve"> hereof, no Independent Counsel shall have been selected and not objected to, either the Company or Indemnitee may petition the Court of Chancery of the State of Delaware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hereof. The Company shall pay any and all reasonable fees and expenses of Independent Counsel incurred by such Independent Counsel in connection with acting pursuant to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hereof, and the Company shall pay all reasonable fees and expenses incident to the procedures of this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regardless of the manner in which such Independent Counsel was selected or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Indemnitee shall be deemed to have acted in good faith if Indemnitee’s action is based on the records or books of account of the Enterprise, including financial statements, or on information supplied to Indemnitee by the officers of the Enterprise (as hereinafter defined)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are satisfied, it shall in any event be presumed that Indemnitee has at all times acted in good faith and in a manner he reasonably believed to be in or not opposed to the best interests of the Company. Anyone seeking to overcome this presumption shall have the burden of proof and the burden of persuasion by clear and convincing evidence.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the person, persons or entity empowered or selected under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w:t>
      </w:r>
      <w:r>
        <w:rPr>
          <w:rFonts w:ascii="Times New Roman;Times;Serif" w:hAnsi="Times New Roman;Times;Serif"/>
          <w:b w:val="false"/>
          <w:i w:val="false"/>
          <w:caps w:val="false"/>
          <w:smallCaps w:val="false"/>
          <w:sz w:val="20"/>
          <w:u w:val="single"/>
        </w:rPr>
        <w:t>Section 6(f)</w:t>
      </w:r>
      <w:r>
        <w:rPr>
          <w:rFonts w:ascii="Times New Roman;Times;Serif" w:hAnsi="Times New Roman;Times;Serif"/>
          <w:b w:val="false"/>
          <w:i w:val="false"/>
          <w:caps w:val="false"/>
          <w:smallCaps w:val="false"/>
          <w:sz w:val="20"/>
        </w:rPr>
        <w:t xml:space="preserve"> shall not apply if the determination of entitlement to indemnification is to be made by the stockholders pursuant to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of this Agreement and if (A) within fifteen (15) days after receipt by the Company of the request for such determination, the Board of Directors or the Disinterested Directors, if appropriate, resolve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of Directors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Remedies of Indemnitee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that (i) a determination is made pursuant to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this Agreement that Indemnitee is not entitled to indemnification under this Agreement, (ii) advancement of Expenses is not timely made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Agreement, (iii) no determination of entitlement to indemnification is made pursuant to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of this Agreement within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180 days following the date on which Indemnitee first has the right to commence such proceeding pursuant to this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The Company shall not oppose Indemnitee’s right to seek any such adjudication.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a determination shall have been made pursuant to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of this Agreement that Indemnitee is not entitled to indemnification, any judicial proceeding commenced pursuant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be conducted in all respects as a de novo trial on the merits, and Indemnitee shall not be prejudiced by reason of the adverse determination under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 determination shall have been made pursuant to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of this Agreement that Indemnitee is entitled to indemnification, the Company shall be bound by such determination in any judicial proceeding commenced pursuant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Indemnitee, pursuant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seeks a judicial adjudication of his rights under, or to recover damages for breach of, this Agreement, or to recover under any directors’ and officers’ liability insurance policies maintained by the Company, the Company shall pay on his behalf, in advance, any and all expenses (of the types described in the definition of Expenses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this Agreement) actually and reasonably incurred by him in such judicial adjudication, regardless of whether Indemnitee ultimately is determined to be entitled to such indemnification, advancement of expenses or insurance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shall be precluded from asserting in any judicial proceeding commenced pursuant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in this Agreement to the contrary, no determination as to entitlement to indemnification under this Agreement shall be required to be made prior to the final disposition of the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Non-Exclusivity; Survival of Rights; Insurance; Primacy of Indemnification; Subrogation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indemnification as provided by this Agreement shall not be deemed exclusive of any other rights to which Indemnitee may at any time be entitled under applicable law, the Certificate of Incorporation, the Bylaws, any agreement, a vote of stockholders, a resolution of directors or otherwise, of the Company.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DGCL, whether by statute or judicial decision, permits greater indemnification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hereby acknowledges that Indemnitee may have certain rights to indemnification, advancement of expenses and/or insurance provided by one or more third parties (the “</w:t>
      </w:r>
      <w:r>
        <w:rPr>
          <w:rFonts w:ascii="Times New Roman;Times;Serif" w:hAnsi="Times New Roman;Times;Serif"/>
          <w:b/>
          <w:i w:val="false"/>
          <w:caps w:val="false"/>
          <w:smallCaps w:val="false"/>
          <w:sz w:val="20"/>
        </w:rPr>
        <w:t>3rd Party Indemnitors</w:t>
      </w:r>
      <w:r>
        <w:rPr>
          <w:rFonts w:ascii="Times New Roman;Times;Serif" w:hAnsi="Times New Roman;Times;Serif"/>
          <w:b w:val="false"/>
          <w:i w:val="false"/>
          <w:caps w:val="false"/>
          <w:smallCaps w:val="false"/>
          <w:sz w:val="20"/>
        </w:rPr>
        <w:t>”). The Company hereby agrees (i) that it is the indemnitor of first resort (i.e., its obligations to Indemnitee are primary and any obligation of the 3rd Party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3rd Party Indemnitors, and, (iii)  that it irrevocably waives, relinquishes and releases the 3rd Party Indemnitors from any and all claims against the 3rd Party Indemnitors for contribution, subrogation or any other recovery of any kind in respect thereof. The Company further agrees that no advancement or payment by the 3rd Party Indemnitors on behalf of Indemnitee with respect to any claim for which Indemnitee has sought indemnification from the Company shall affect the foregoing and the 3rd Party Indemnitors shall have a right of contribution and/or be subrogated to the extent of such advancement or payment to all of the rights of recovery of Indemnitee against the Company. The Company and Indemnitee agree that the 3rd Party Indemnitors are express third party beneficiaries of the terms of this Section 8(c).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provided in paragraph (c) above, in the event of any payment under this Agreement, the Company shall be subrogated to the extent of such payment to all of the rights of recovery of Indemnitee (other than against the 3rd Party Indemnitors), who shall execute all papers required and take all action necessary to secure such rights, including execution of such documents as are necessary to enable the Company to bring suit to enforce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provided in paragraph (c) above, the Company shall not be liable under this Agreement to make any payment of amounts otherwise indemnifiable hereunder if and to the extent that Indemnitee has otherwise actually received such payment under any insurance policy, contract,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provided in paragraph (c) above, 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Exception to Right of Indemnification</w:t>
      </w:r>
      <w:r>
        <w:rPr>
          <w:rFonts w:ascii="Times New Roman;Times;Serif" w:hAnsi="Times New Roman;Times;Serif"/>
          <w:b w:val="false"/>
          <w:i w:val="false"/>
          <w:caps w:val="false"/>
          <w:smallCaps w:val="false"/>
          <w:sz w:val="20"/>
        </w:rPr>
        <w:t>. Notwithstanding any provision in this Agreement, the Company shall not be obligated under this Agreement to make any indemnity in connection with any claim made against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 the 3rd Party Indemnitors set forth in Section 8(c)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an accounting of profits made from the purchase and sale (or sale and purchase) by Indemnitee of securities of the Company within the meaning of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of the Securities Exchange Act of 1934, as amended, or similar provisions of state statutory law or common law;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any Proceeding (or any part of any Proceeding) initiated by Indemnitee, including any Proceeding (or any part of any Proceeding) initiated by Indemnitee against the Company or its directors, officers, employees or other indemnitees, unless (i) the Board of Directors of the Company authorized the Proceeding (or any part of any Proceeding) prior to its initiation or (ii) the Company provides the indemnification, in its sole discretion, pursuant to the powers vested in the Company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Duration of Agreement</w:t>
      </w:r>
      <w:r>
        <w:rPr>
          <w:rFonts w:ascii="Times New Roman;Times;Serif" w:hAnsi="Times New Roman;Times;Serif"/>
          <w:b w:val="false"/>
          <w:i w:val="false"/>
          <w:caps w:val="false"/>
          <w:smallCaps w:val="false"/>
          <w:sz w:val="20"/>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hereof) by reason of his Corporate Status, whether or not 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To the extent requested by Indemnitee and approved by the Board of Directors of the Company,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Corporate Status</w:t>
      </w:r>
      <w:r>
        <w:rPr>
          <w:rFonts w:ascii="Times New Roman;Times;Serif" w:hAnsi="Times New Roman;Times;Serif"/>
          <w:b w:val="false"/>
          <w:i w:val="false"/>
          <w:caps w:val="false"/>
          <w:smallCaps w:val="false"/>
          <w:sz w:val="20"/>
        </w:rPr>
        <w:t>” describes the status of a person who is or was a director, officer, employee, agent or fiduciary of the Company or of any other corporation, partnership, joint venture, trust, employee benefit plan or other enterprise that such person is or was serving at the express written request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Disinterested Director</w:t>
      </w:r>
      <w:r>
        <w:rPr>
          <w:rFonts w:ascii="Times New Roman;Times;Serif" w:hAnsi="Times New Roman;Times;Serif"/>
          <w:b w:val="false"/>
          <w:i w:val="false"/>
          <w:caps w:val="false"/>
          <w:smallCaps w:val="false"/>
          <w:sz w:val="20"/>
        </w:rPr>
        <w:t>” means a director of the Company who is not and was not a party to the Proceeding in respect of which indemnification is sought by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Enterprise</w:t>
      </w:r>
      <w:r>
        <w:rPr>
          <w:rFonts w:ascii="Times New Roman;Times;Serif" w:hAnsi="Times New Roman;Times;Serif"/>
          <w:b w:val="false"/>
          <w:i w:val="false"/>
          <w:caps w:val="false"/>
          <w:smallCaps w:val="false"/>
          <w:sz w:val="20"/>
        </w:rPr>
        <w:t>” shall mean the Company and any other corporation, partnership, joint venture, trust, employee benefit plan or other enterprise that Indemnitee is or was serving at the express written request of the Company as a director, officer, employee, agent or fiduciary.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Independent Counsel</w:t>
      </w:r>
      <w:r>
        <w:rPr>
          <w:rFonts w:ascii="Times New Roman;Times;Serif" w:hAnsi="Times New Roman;Times;Serif"/>
          <w:b w:val="false"/>
          <w:i w:val="false"/>
          <w:caps w:val="false"/>
          <w:smallCaps w:val="false"/>
          <w:sz w:val="20"/>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the fact that Indemnitee is or was an officer or director of the Company, by reason of any action taken by him or of any inaction on his part while acting as an officer or director of the Company, or by reason of the fact that he is or was serving at the request of the Company as a director, officer, employee, agent or fiduciary of another corporation, partnership, joint venture, trust or other Enterprise;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Agreement to enforce his rights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Modification and Waiver</w:t>
      </w:r>
      <w:r>
        <w:rPr>
          <w:rFonts w:ascii="Times New Roman;Times;Serif" w:hAnsi="Times New Roman;Times;Serif"/>
          <w:b w:val="false"/>
          <w:i w:val="false"/>
          <w:caps w:val="false"/>
          <w:smallCaps w:val="false"/>
          <w:sz w:val="20"/>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Notice By Indemnitee</w:t>
      </w:r>
      <w:r>
        <w:rPr>
          <w:rFonts w:ascii="Times New Roman;Times;Serif" w:hAnsi="Times New Roman;Times;Serif"/>
          <w:b w:val="false"/>
          <w:i w:val="false"/>
          <w:caps w:val="false"/>
          <w:smallCaps w:val="false"/>
          <w:sz w:val="20"/>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pStyle w:val="TextBody"/>
        <w:bidi w:val="0"/>
        <w:spacing w:before="0" w:after="0"/>
        <w:ind w:left="0" w:right="0" w:hanging="0"/>
        <w:jc w:val="left"/>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23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6950" w:type="dxa"/>
            <w:tcBorders/>
            <w:vAlign w:val="center"/>
          </w:tcPr>
          <w:p>
            <w:pPr>
              <w:pStyle w:val="TableContents"/>
              <w:bidi w:val="0"/>
              <w:spacing w:before="0" w:after="283"/>
              <w:jc w:val="both"/>
              <w:rPr/>
            </w:pPr>
            <w:r>
              <w:rPr/>
              <w:t>To Indemnitee at the address set forth below Indemnitee signature 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1313"/>
        <w:gridCol w:w="8720"/>
      </w:tblGrid>
      <w:tr>
        <w:trPr/>
        <w:tc>
          <w:tcPr>
            <w:tcW w:w="17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pPr>
            <w:r>
              <w:rPr/>
              <w:t>(b)</w:t>
            </w:r>
          </w:p>
        </w:tc>
        <w:tc>
          <w:tcPr>
            <w:tcW w:w="8720" w:type="dxa"/>
            <w:tcBorders/>
            <w:vAlign w:val="center"/>
          </w:tcPr>
          <w:p>
            <w:pPr>
              <w:pStyle w:val="TableContents"/>
              <w:bidi w:val="0"/>
              <w:spacing w:before="0" w:after="283"/>
              <w:jc w:val="both"/>
              <w:rPr/>
            </w:pPr>
            <w:r>
              <w:rPr/>
              <w:t>To the Company at:</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Cypherpunk Technologies Inc.</w:t>
        <w:br/>
        <w:t>47 Thorndike Street, Suite B1-1</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 02141</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Douglas E. Onsi,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Lewis &amp; Bockius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Federal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Julio Vega, Esq.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as may have been furnished to Indemnitee by the Company or to the Company by Indemnitee,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the paragraphs of this Agreement are inserted for convenience only and shall not be deemed to constitute part of this Agreement or to affect the construction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Governing Law and Consent to Jurisdiction.</w:t>
      </w:r>
      <w:r>
        <w:rPr>
          <w:rFonts w:ascii="Times New Roman;Times;Serif" w:hAnsi="Times New Roman;Times;Serif"/>
          <w:b w:val="false"/>
          <w:i w:val="false"/>
          <w:caps w:val="false"/>
          <w:smallCaps w:val="false"/>
          <w:sz w:val="20"/>
        </w:rPr>
        <w:t xml:space="preserve">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Times New Roman;Times;Serif" w:hAnsi="Times New Roman;Times;Serif"/>
          <w:b/>
          <w:i w:val="false"/>
          <w:caps w:val="false"/>
          <w:smallCaps w:val="false"/>
          <w:sz w:val="20"/>
        </w:rPr>
        <w:t>Delaware Court</w:t>
      </w:r>
      <w:r>
        <w:rPr>
          <w:rFonts w:ascii="Times New Roman;Times;Serif" w:hAnsi="Times New Roman;Times;Serif"/>
          <w:b w:val="false"/>
          <w:i w:val="false"/>
          <w:caps w:val="false"/>
          <w:smallCaps w:val="false"/>
          <w:sz w:val="20"/>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on and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534" w:type="dxa"/>
        <w:jc w:val="left"/>
        <w:tblInd w:w="0" w:type="dxa"/>
        <w:tblLayout w:type="fixed"/>
        <w:tblCellMar>
          <w:top w:w="0" w:type="dxa"/>
          <w:left w:w="0" w:type="dxa"/>
          <w:bottom w:w="0" w:type="dxa"/>
          <w:right w:w="0" w:type="dxa"/>
        </w:tblCellMar>
      </w:tblPr>
      <w:tblGrid>
        <w:gridCol w:w="80"/>
        <w:gridCol w:w="551"/>
        <w:gridCol w:w="2903"/>
      </w:tblGrid>
      <w:tr>
        <w:trPr/>
        <w:tc>
          <w:tcPr>
            <w:tcW w:w="8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TECHNOLOGIES INC.</w:t>
            </w:r>
          </w:p>
        </w:tc>
      </w:tr>
      <w:tr>
        <w:trPr/>
        <w:tc>
          <w:tcPr>
            <w:tcW w:w="8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0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Khing Oei</w:t>
            </w:r>
          </w:p>
        </w:tc>
      </w:tr>
      <w:tr>
        <w:trPr/>
        <w:tc>
          <w:tcPr>
            <w:tcW w:w="80"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r>
        <w:trPr/>
        <w:tc>
          <w:tcPr>
            <w:tcW w:w="8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sz w:val="4"/>
                <w:szCs w:val="4"/>
              </w:rPr>
            </w:pPr>
            <w:r>
              <w:rPr>
                <w:sz w:val="4"/>
                <w:szCs w:val="4"/>
              </w:rPr>
            </w:r>
          </w:p>
        </w:tc>
      </w:tr>
      <w:tr>
        <w:trPr/>
        <w:tc>
          <w:tcPr>
            <w:tcW w:w="8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INDEMNITEE</w:t>
            </w:r>
          </w:p>
        </w:tc>
      </w:tr>
      <w:tr>
        <w:trPr/>
        <w:tc>
          <w:tcPr>
            <w:tcW w:w="8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r>
      <w:tr>
        <w:trPr/>
        <w:tc>
          <w:tcPr>
            <w:tcW w:w="8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0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r>
      <w:tr>
        <w:trPr/>
        <w:tc>
          <w:tcPr>
            <w:tcW w:w="8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both"/>
        <w:rPr>
          <w:caps w:val="false"/>
          <w:smallCaps w:val="false"/>
        </w:rPr>
      </w:pPr>
      <w:bookmarkStart w:id="25" w:name="tm2625876d1_ex99-1.htm"/>
      <w:bookmarkStart w:id="26" w:name="kstm2625876d1_ex99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705100"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05100" cy="6572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Technologies Appoints Amanda Fabiano to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Veteran mining executive brings operational depth from Nakamoto, TeraWulf, Galaxy, and Fidelity as Cypherpunk launches 4.2 GSol/s Zcash mining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Cypherpunk Mining generated 3,023.13 ZEC in first weeks of operation; Added to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Cambridge, Mass., – September 22, 2026</w:t>
      </w:r>
      <w:r>
        <w:rPr>
          <w:rFonts w:ascii="Times New Roman;Times;Serif" w:hAnsi="Times New Roman;Times;Serif"/>
          <w:b w:val="false"/>
          <w:i w:val="false"/>
          <w:caps w:val="false"/>
          <w:smallCaps w:val="false"/>
          <w:sz w:val="20"/>
        </w:rPr>
        <w:t xml:space="preserve"> – Cypherpunk Technologies Inc. (Nasdaq: CYPH) (“Cypherpunk”), a privacy technology company, today announced the appointment of Amanda Fabiano to its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most experienced operators in digital asset mining and infrastructure, Fabiano currently serves as Chief Operating Officer of Nakamoto Inc., a publicly listed bitcoin-focused company, and as an independent director of TeraWulf Inc., a public bitcoin mining company that has expanded into AI and high-performance computing infrastructure. Previously, she held senior mining and investment roles at Galaxy and Fidelity, where she helped build some of the earliest institutional digital asset mining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Amanda has spent her career at the operational core of digital asset infrastructure building, scaling, and governing mining businesses inside public companies,” said Douglas E. Onsi, President and Chief Executive Officer of Cypherpunk Technologies. “As we scale Cypherpunk Mining and continue assembling our constellation of privacy technologies, her operational expertise and public company board experience make her an exceptional addition to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I’m excited to join the Cypherpunk board and work alongside a team building at the intersection of technology, infrastructure, and privacy,” said Amanda Fabiano. “I’ve spent my career in infrastructure because it sits at the heart of how technology scales and evolves. As our world becomes increasingly digital, privacy and the ability for individuals to maintain control over their information will matter more than ever. I’m excited to bring my experience to the board and be part of what the team is building.”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Fabiano's appointment follows the August launch of Cypherpunk Mining</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with approximately 4.2 GSol/s of hashrate deployed across the United States. Cypherpunk Mining generated 3,023.13 ZEC in mining rewards from August 18 to August 31, 2026, all of which have been added to the corporate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Cypherpunk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Cypherpunk Technologies is a privacy technology company. The Company’s mission is to advance technologies that guarantee privacy for humans on the internet. Cypherpunk pursues this mission through three primary strategies: mining Zcash through Cypherpunk Mining; accumulating Zcash through open market purchases; and investing in, acquiring, and building technologies that push the frontier of privacy forward. Additionally, through its subsidiary Leap Therapeutics, the Company is developing novel therapies for patients with cancer by continuing the development of sirexatamab and FL-501. For more information about the Company, visit our websites at </w:t>
      </w:r>
      <w:r>
        <w:rPr>
          <w:rFonts w:ascii="Times New Roman;Times;Serif" w:hAnsi="Times New Roman;Times;Serif"/>
          <w:b w:val="false"/>
          <w:i w:val="false"/>
          <w:caps w:val="false"/>
          <w:smallCaps w:val="false"/>
          <w:sz w:val="20"/>
          <w:u w:val="single"/>
        </w:rPr>
        <w:t>http://www.cypherpunk.com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http://www.leaptx.com</w:t>
      </w:r>
      <w:r>
        <w:rPr>
          <w:rFonts w:ascii="Times New Roman;Times;Serif" w:hAnsi="Times New Roman;Times;Serif"/>
          <w:b w:val="false"/>
          <w:i w:val="false"/>
          <w:caps w:val="false"/>
          <w:smallCaps w:val="false"/>
          <w:sz w:val="20"/>
        </w:rPr>
        <w:t xml:space="preserve"> or view our public filings with the SEC that are available via EDGAR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Section 27A of the Securities Act of 1933, as amended, Section 21E of the Securities Exchange Act of 1934, as amended. These forward-looking statements generally can be identified by the use of words such as “anticipate,” “expect,” “plan,” “could,” “may,” “will,” “believe,” “estimate,” “forecast,” “goal,” “project,” and other words of similar meaning. Forward-looking statements address various matters including statements relating to the Company’s ZEC mining operations, the hashpower represented by the acquired Z15 Pro machines, the Zcash flow or profitability of the Company’s mining operations, the comparative economics or profitability of Zcash mining relative to other digital infrastructure or mining activities, the future hashrate of the Zcash Network, the value of the Company’s ZEC holdings, the Company’s target percentage ownership of the ZEC supply, the expected future market, price, and liquidity of ZEC, the Company’s expected use of Zcash flow or other capital generated by its mining operations, the potential value of the Company’s investment in Zcash Open Development Labs (“ZODL”), the macro and political conditions surrounding Zcash or digital assets, the Company’s plan for value creation and strategic advantages, market size and growth opportunities, regulatory conditions, competitive position and the interest of other corporations in similar business strategies, technological and market trends, and future financial condition and performance. Risks and uncertainties of the Company’s strategy include, among others: (a) risks relating to the Company’s operations and business, including the performance of the Company’s Zcash mining machines and the highly volatile nature of the price of ZEC; (b) the risk that material changes in the price of ZEC, such as decreases in price, will result in significant changes to the Company’s financial statements, such as unrealized losses on fair value of ZEC holdings, and reduced net income or increased net loss; (c) the risk that material changes in the hashrate of the Zcash Network, such as increases in hashrate, will result in significant changes to the Company’s financial statements, such as reduced revenue, reduced gross margins, and reduced net income or increased net loss; (d) the risk that the price of the Company’s common stock may be highly correlated to the price of ZEC; (e) the risk that the Company will fail to realize the anticipated benefits of the ZEC mining operation or digital asset treasury strategy; (f) risks related to the custody of our ZEC and our reliance on Gemini Space Station and its affiliates for trading and custody services; (g) changes in business, market, financial, political and regulatory conditions; (h) risks related to increased competition in the industries in which the Company does and will operate; (i) risks relating to significant legal, commercial, regulatory and technical uncertainty regarding digital assets generally; (j) risks relating to the treatment of crypto assets for U.S. and foreign tax purposes; and (k) risks related to the Company’s dependence on third-party hosting facilities and service providers for its mining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risks and uncertainties may emerge from time to time, and it is not possible to predict all risks and uncertainties. No representations or warranties (expressed or implied) are made about the accuracy of any such forward-looking statements. The Company may not actually achieve the forecasts disclosed in such forward-looking statements, and you should not place undue reliance on such forward-looking statements. Such forward-looking statements are subject to a number of material risks and uncertainties including but not limited to those set forth under the caption “Risk Factors” in the Company’s most recent Annual Report on Form 10-K filed with the SEC, or as may be included in other reports or information we file with the SEC, as well as discussions of potential risks, uncertainties, and other important factors in its subsequent filings with the SEC. Any forward-looking statement speaks only as of the date on which it was made. Neither the Company, nor any of its affiliates, advisors or representatives, undertake any obligation to publicly update or revise any forward-looking statement, whether as a result of new information, future events or otherwise, except as required by law. These forward-looking statements should not be relied upon as representing the Company’s views as of any date subsequent to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Cypherpunk</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Cypherpunk Mining</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Cypherpunk Technologies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and the Cypherpunk logo</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are all trademarks of Cypherpunk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E. Onsi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Cypherpunk Technologies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617-714-0360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DeYoung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Argot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212-600-1902</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leap@argotpartners.com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 Ortiz Ramsay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Factor Strategies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954-294-3249</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jacqueline@itfactorstrategies.com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9644</Words>
  <Characters>51939</Characters>
  <CharactersWithSpaces>62285</CharactersWithSpaces>
  <Paragraphs>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