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100818.xml.htm"/>
      <w:bookmarkStart w:id="1" w:name="ksform408192026_1008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McEvoy William Patrick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CYPHERPUNK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 THORNDIKE STREET, SUITE B1-1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Investment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24"/>
        <w:gridCol w:w="916"/>
        <w:gridCol w:w="789"/>
        <w:gridCol w:w="608"/>
        <w:gridCol w:w="327"/>
        <w:gridCol w:w="1252"/>
        <w:gridCol w:w="384"/>
        <w:gridCol w:w="727"/>
        <w:gridCol w:w="1309"/>
        <w:gridCol w:w="920"/>
        <w:gridCol w:w="134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16,570,852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</w:t>
            </w:r>
          </w:p>
        </w:tc>
        <w:tc>
          <w:tcPr>
            <w:tcW w:w="13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24,854,613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44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85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801"/>
        <w:gridCol w:w="1176"/>
        <w:gridCol w:w="831"/>
        <w:gridCol w:w="1176"/>
      </w:tblGrid>
      <w:tr>
        <w:trPr>
          <w:tblHeader w:val="true"/>
        </w:trPr>
        <w:tc>
          <w:tcPr>
            <w:tcW w:w="144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Pre-Funded 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16,570,852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16,570,852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0.5196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58,877,766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0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Pre-Funded 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43,290,042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43,290,042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0.77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102,167,808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Winklevoss Treasury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are held by Winklevoss Treasury Investments, LLC ("WTI"), which is a wholly owned subsidiary of Winklevoss Capital Fund, LLC ("WCF"). Winklevoss Capital Management, LLC ("WCM") is the manager of WCF and Tyler Winklevoss and Cameron Winklevoss are the co-founders and managers of WCM. The Reporting Person is the manager of WTI and a Vice President of WCM. The Reporting Person disclaims beneficial ownership of the securities held by WTI, except to the extent of his pecuniary interest therein, if 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Pre-Funded Warrants have no expiration date and are exercisable immediately. Notwithstanding the foregoing, WTI shall not be entitled to exercise the Pre-Funded Warrant if it would cause the aggregate number of shares of Common Stock beneficially owned by WTI, its affiliates and any persons who are members of a Section 13(d) group with WTI or their affiliates to exceed 19.99% of the total number of issued and outstanding shares of Common Stock of the Issuer following such exercise.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Pursuant to an Asset Purchase Agreement dated August 17, 2026, WTI received Pre-Funded Warrants to purchase 43,290,042 shares of Common Stock as consideration for the sale of certain assets and rights.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P. McEvoy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596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813</Words>
  <Characters>4465</Characters>
  <CharactersWithSpaces>5181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