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42026_081048.xml.htm"/>
      <w:bookmarkStart w:id="1" w:name="ksform410142026_081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McEvoy William Patrick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CYPHERPUNK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 THORNDIKE STREET, SUITE B1-1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CYPHERPUNK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Investment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4"/>
        <w:gridCol w:w="920"/>
        <w:gridCol w:w="792"/>
        <w:gridCol w:w="610"/>
        <w:gridCol w:w="330"/>
        <w:gridCol w:w="1149"/>
        <w:gridCol w:w="391"/>
        <w:gridCol w:w="733"/>
        <w:gridCol w:w="1319"/>
        <w:gridCol w:w="930"/>
        <w:gridCol w:w="134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4,938,801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29,793,414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33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85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91"/>
        <w:gridCol w:w="1101"/>
        <w:gridCol w:w="801"/>
        <w:gridCol w:w="1071"/>
        <w:gridCol w:w="831"/>
        <w:gridCol w:w="1176"/>
      </w:tblGrid>
      <w:tr>
        <w:trPr>
          <w:tblHeader w:val="true"/>
        </w:trPr>
        <w:tc>
          <w:tcPr>
            <w:tcW w:w="133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Pre-Funded 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4,938,801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4,938,801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0.5196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97,229,007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are held by Winklevoss Treasury Investments, LLC ("WTI"), which is a wholly owned subsidiary of Winklevoss Capital Fund, LLC ("WCF"). Winklevoss Capital Management, LLC ("WCM") is the manager of WCF and Tyler Winklevoss and Cameron Winklevoss are the co-founders and managers of WCM. The Reporting Person is the manager of WTI and a Vice President of WCM. The Reporting Person disclaims beneficial ownership of the securities held by WTI, except to the extent of his pecuniary interest therein, if 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Pre-Funded Warrants have no expiration date and are exercisable immediately. Notwithstanding the foregoing, WTI shall not be entitled to exercise the Pre-Funded Warrant if it would cause the aggregate number of shares of Common Stock beneficially owned by WTI, its affiliates and any persons who are members of a Section 13(d) group with WTI or their affiliates to exceed 19.99% of the total number of issued and outstanding shares of Common Stock of the Issuer following such exercise.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P. McEvoy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596" TargetMode="External"/><Relationship Id="rId5" Type="http://schemas.openxmlformats.org/officeDocument/2006/relationships/hyperlink" Target="http://www.sec.gov/cgi-bin/browse-edgar?action=getcompany&amp;CIK=000150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759</Words>
  <Characters>4148</Characters>
  <CharactersWithSpaces>4824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