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4194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194175"/>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ONSI DOUGLAS E</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CYPHERPUNK TECHNOLOGIES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47 THORNDIKE STREET SUITE B1-1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43"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CYPHERPUNK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 xml:space="preserve">CYPH </w:t>
      </w:r>
      <w:r>
        <w:rPr>
          <w:rFonts w:ascii="Times New Roman" w:cs="Times New Roman" w:eastAsia="Times New Roman" w:hAnsi="Times New Roman"/>
          <w:sz w:val="20"/>
          <w:szCs w:val="20"/>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511"/>
        <w:spacing w:after="0"/>
        <w:rPr>
          <w:sz w:val="20"/>
          <w:szCs w:val="20"/>
          <w:color w:val="auto"/>
        </w:rPr>
      </w:pPr>
      <w:r>
        <w:rPr>
          <w:rFonts w:ascii="Times New Roman" w:cs="Times New Roman" w:eastAsia="Times New Roman" w:hAnsi="Times New Roman"/>
          <w:sz w:val="16"/>
          <w:szCs w:val="16"/>
          <w:color w:val="0000FF"/>
        </w:rPr>
        <w:t>CEO,CFO,Pres.,GC,Treas.&amp;Sec.</w:t>
      </w:r>
    </w:p>
    <w:p>
      <w:pPr>
        <w:spacing w:after="0" w:line="491" w:lineRule="exact"/>
        <w:rPr>
          <w:sz w:val="24"/>
          <w:szCs w:val="24"/>
          <w:color w:val="auto"/>
        </w:rPr>
      </w:pPr>
    </w:p>
    <w:p>
      <w:pPr>
        <w:sectPr>
          <w:pgSz w:w="11900" w:h="16838" w:orient="portrait"/>
          <w:cols w:equalWidth="0" w:num="3">
            <w:col w:w="3180" w:space="720"/>
            <w:col w:w="3480" w:space="349"/>
            <w:col w:w="3351"/>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3600" w:type="dxa"/>
            <w:vAlign w:val="bottom"/>
            <w:gridSpan w:val="6"/>
            <w:vMerge w:val="restart"/>
          </w:tcPr>
          <w:p>
            <w:pPr>
              <w:jc w:val="center"/>
              <w:ind w:right="82"/>
              <w:spacing w:after="0"/>
              <w:rPr>
                <w:sz w:val="20"/>
                <w:szCs w:val="20"/>
                <w:color w:val="auto"/>
              </w:rPr>
            </w:pPr>
            <w:r>
              <w:rPr>
                <w:rFonts w:ascii="Arial" w:cs="Arial" w:eastAsia="Arial" w:hAnsi="Arial"/>
                <w:sz w:val="13"/>
                <w:szCs w:val="13"/>
                <w:color w:val="auto"/>
                <w:w w:val="96"/>
              </w:rPr>
              <w:t>4. If Amendment, Date of Original Filed (Month/Day/Year)</w:t>
            </w:r>
          </w:p>
        </w:tc>
        <w:tc>
          <w:tcPr>
            <w:tcW w:w="3720" w:type="dxa"/>
            <w:vAlign w:val="bottom"/>
            <w:gridSpan w:val="9"/>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0" w:type="dxa"/>
            <w:vAlign w:val="bottom"/>
            <w:gridSpan w:val="6"/>
            <w:vMerge w:val="continue"/>
          </w:tcPr>
          <w:p>
            <w:pPr>
              <w:spacing w:after="0"/>
              <w:rPr>
                <w:sz w:val="10"/>
                <w:szCs w:val="10"/>
                <w:color w:val="auto"/>
              </w:rPr>
            </w:pPr>
          </w:p>
        </w:tc>
        <w:tc>
          <w:tcPr>
            <w:tcW w:w="37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ind w:left="360"/>
              <w:spacing w:after="0" w:line="138" w:lineRule="exact"/>
              <w:rPr>
                <w:sz w:val="20"/>
                <w:szCs w:val="20"/>
                <w:color w:val="auto"/>
              </w:rPr>
            </w:pPr>
            <w:r>
              <w:rPr>
                <w:rFonts w:ascii="Arial" w:cs="Arial" w:eastAsia="Arial" w:hAnsi="Arial"/>
                <w:sz w:val="13"/>
                <w:szCs w:val="13"/>
                <w:color w:val="auto"/>
              </w:rPr>
              <w:t>Line)</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CAMBRIDGE</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02141</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9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2"/>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gridSpan w:val="5"/>
          </w:tcPr>
          <w:p>
            <w:pPr>
              <w:spacing w:after="0"/>
              <w:rPr>
                <w:sz w:val="6"/>
                <w:szCs w:val="6"/>
                <w:color w:val="auto"/>
              </w:rPr>
            </w:pPr>
          </w:p>
        </w:tc>
        <w:tc>
          <w:tcPr>
            <w:tcW w:w="266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1"/>
          </w:tcPr>
          <w:p>
            <w:pPr>
              <w:jc w:val="right"/>
              <w:ind w:right="28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1,000,000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177"/>
              <w:spacing w:after="0" w:line="126" w:lineRule="exact"/>
              <w:rPr>
                <w:sz w:val="20"/>
                <w:szCs w:val="20"/>
                <w:color w:val="auto"/>
              </w:rPr>
            </w:pPr>
            <w:r>
              <w:rPr>
                <w:rFonts w:ascii="Times New Roman" w:cs="Times New Roman" w:eastAsia="Times New Roman" w:hAnsi="Times New Roman"/>
                <w:sz w:val="13"/>
                <w:szCs w:val="13"/>
                <w:color w:val="0000FF"/>
              </w:rPr>
              <w:t>07/01/2026</w:t>
            </w:r>
          </w:p>
        </w:tc>
        <w:tc>
          <w:tcPr>
            <w:tcW w:w="1060" w:type="dxa"/>
            <w:vAlign w:val="bottom"/>
          </w:tcPr>
          <w:p>
            <w:pPr>
              <w:spacing w:after="0"/>
              <w:rPr>
                <w:sz w:val="10"/>
                <w:szCs w:val="10"/>
                <w:color w:val="auto"/>
              </w:rPr>
            </w:pPr>
          </w:p>
        </w:tc>
        <w:tc>
          <w:tcPr>
            <w:tcW w:w="80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940" w:type="dxa"/>
            <w:vAlign w:val="bottom"/>
          </w:tcPr>
          <w:p>
            <w:pPr>
              <w:ind w:left="340"/>
              <w:spacing w:after="0" w:line="126" w:lineRule="exact"/>
              <w:rPr>
                <w:sz w:val="20"/>
                <w:szCs w:val="20"/>
                <w:color w:val="auto"/>
              </w:rPr>
            </w:pPr>
            <w:r>
              <w:rPr>
                <w:rFonts w:ascii="Times New Roman" w:cs="Times New Roman" w:eastAsia="Times New Roman" w:hAnsi="Times New Roman"/>
                <w:sz w:val="13"/>
                <w:szCs w:val="13"/>
                <w:color w:val="0000FF"/>
              </w:rPr>
              <w:t>1,000,000</w:t>
            </w:r>
          </w:p>
        </w:tc>
        <w:tc>
          <w:tcPr>
            <w:tcW w:w="7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ind w:right="283"/>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3"/>
                <w:szCs w:val="13"/>
                <w:color w:val="0000FF"/>
              </w:rPr>
              <w:t>1,000,000</w:t>
            </w:r>
          </w:p>
        </w:tc>
        <w:tc>
          <w:tcPr>
            <w:tcW w:w="62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-1631950</wp:posOffset>
            </wp:positionV>
            <wp:extent cx="28575" cy="1637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3766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34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to be settled on a 1 for 1 basis for shares of Cypherpunk Technologies Inc. ("Company") common stock, par value $0.001 per share ("Common Stock"). The RSUs were issued under the Company's 2025 Equity Incentive Plan for no consideration.</w:t>
      </w:r>
    </w:p>
    <w:p>
      <w:pPr>
        <w:spacing w:after="0" w:line="22" w:lineRule="exact"/>
        <w:rPr>
          <w:rFonts w:ascii="Times New Roman" w:cs="Times New Roman" w:eastAsia="Times New Roman" w:hAnsi="Times New Roman"/>
          <w:sz w:val="13"/>
          <w:szCs w:val="13"/>
          <w:color w:val="008000"/>
        </w:rPr>
      </w:pPr>
    </w:p>
    <w:p>
      <w:pPr>
        <w:jc w:val="both"/>
        <w:ind w:left="40" w:right="180" w:hanging="2"/>
        <w:spacing w:after="0" w:line="231"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at (i) 12/36th on June 15, 2027 and (ii) 1/36th on the fifteenth (15th) day of each month thereafter (each, a "Vesting Date"), subject to the reporting person's continued service with the Company. Subject to the terms of the RSU award and applicable tax withholdings, the Company shall settle vested RSUs for Common Stock on the earliest to occur of (i) the first payroll period on or after the date the reporting person's employment with or service to the Company ceases, (ii) the first payroll period on or after the fifteenth (15th) day of the calendar month of June following any such Vesting Date applicable to such vested RSU or (iii) the first payroll period on or after the fifteenth (15th) day of the month of December following any such Vesting Date.</w:t>
      </w:r>
    </w:p>
    <w:p>
      <w:pPr>
        <w:spacing w:after="0" w:line="21"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Douglas E. Onsi as attorney-</w:t>
            </w:r>
          </w:p>
        </w:tc>
        <w:tc>
          <w:tcPr>
            <w:tcW w:w="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8"/>
              </w:rPr>
              <w:t>07/02/2026</w:t>
            </w:r>
          </w:p>
        </w:tc>
        <w:tc>
          <w:tcPr>
            <w:tcW w:w="0" w:type="dxa"/>
            <w:vAlign w:val="bottom"/>
          </w:tcPr>
          <w:p>
            <w:pPr>
              <w:spacing w:after="0"/>
              <w:rPr>
                <w:sz w:val="1"/>
                <w:szCs w:val="1"/>
                <w:color w:val="auto"/>
              </w:rPr>
            </w:pPr>
          </w:p>
        </w:tc>
      </w:tr>
      <w:tr>
        <w:trPr>
          <w:trHeight w:val="80"/>
        </w:trPr>
        <w:tc>
          <w:tcPr>
            <w:tcW w:w="200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in-fact for the reporting person</w:t>
            </w:r>
          </w:p>
        </w:tc>
        <w:tc>
          <w:tcPr>
            <w:tcW w:w="120" w:type="dxa"/>
            <w:vAlign w:val="bottom"/>
            <w:gridSpan w:val="2"/>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00" w:type="dxa"/>
            <w:vAlign w:val="bottom"/>
            <w:tcBorders>
              <w:bottom w:val="single" w:sz="8" w:color="auto"/>
            </w:tcBorders>
            <w:vMerge w:val="continue"/>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0185" TargetMode="External"/><Relationship Id="rId14" Type="http://schemas.openxmlformats.org/officeDocument/2006/relationships/hyperlink" Target="http://www.sec.gov/cgi-bin/browse-edgar?action=getcompany&amp;CIK=0001509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2026-07-02T20:57:23Z</dcterms:created>
  <dcterms:modified xsi:type="dcterms:W3CDTF">2026-07-02T20:57:23Z</dcterms:modified>
</cp:coreProperties>
</file>