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252095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286385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134620</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9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142240</wp:posOffset>
            </wp:positionV>
            <wp:extent cx="178308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Section 13 or 15(d) of the Securities Exchange Act of 1934</w:t>
      </w:r>
    </w:p>
    <w:p>
      <w:pPr>
        <w:spacing w:after="0" w:line="2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April 7,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1771015</wp:posOffset>
            </wp:positionH>
            <wp:positionV relativeFrom="paragraph">
              <wp:posOffset>114300</wp:posOffset>
            </wp:positionV>
            <wp:extent cx="3600450" cy="8229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600450" cy="82296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Cypherpunk Technologies Inc.</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133350</wp:posOffset>
            </wp:positionV>
            <wp:extent cx="17830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97" w:lineRule="exact"/>
        <w:rPr>
          <w:sz w:val="24"/>
          <w:szCs w:val="24"/>
          <w:color w:val="auto"/>
        </w:rPr>
      </w:pPr>
    </w:p>
    <w:tbl>
      <w:tblPr>
        <w:tblLayout w:type="fixed"/>
        <w:tblInd w:w="840" w:type="dxa"/>
        <w:tblCellMar>
          <w:top w:w="0" w:type="dxa"/>
          <w:left w:w="0" w:type="dxa"/>
          <w:bottom w:w="0" w:type="dxa"/>
          <w:right w:w="0" w:type="dxa"/>
        </w:tblCellMar>
      </w:tblPr>
      <w:tr>
        <w:trPr>
          <w:trHeight w:val="220"/>
        </w:trPr>
        <w:tc>
          <w:tcPr>
            <w:tcW w:w="226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520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001-37990</w:t>
            </w:r>
          </w:p>
        </w:tc>
        <w:tc>
          <w:tcPr>
            <w:tcW w:w="1820" w:type="dxa"/>
            <w:vAlign w:val="bottom"/>
          </w:tcPr>
          <w:p>
            <w:pPr>
              <w:jc w:val="center"/>
              <w:ind w:left="370"/>
              <w:spacing w:after="0"/>
              <w:rPr>
                <w:sz w:val="20"/>
                <w:szCs w:val="20"/>
                <w:color w:val="auto"/>
              </w:rPr>
            </w:pPr>
            <w:r>
              <w:rPr>
                <w:rFonts w:ascii="Times New Roman" w:cs="Times New Roman" w:eastAsia="Times New Roman" w:hAnsi="Times New Roman"/>
                <w:sz w:val="18"/>
                <w:szCs w:val="18"/>
                <w:b w:val="1"/>
                <w:bCs w:val="1"/>
                <w:color w:val="auto"/>
              </w:rPr>
              <w:t>27-4412575</w:t>
            </w:r>
          </w:p>
        </w:tc>
      </w:tr>
      <w:tr>
        <w:trPr>
          <w:trHeight w:val="216"/>
        </w:trPr>
        <w:tc>
          <w:tcPr>
            <w:tcW w:w="226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9"/>
              </w:rPr>
              <w:t>(State or Other Jurisdiction</w:t>
            </w:r>
          </w:p>
        </w:tc>
        <w:tc>
          <w:tcPr>
            <w:tcW w:w="520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8"/>
              </w:rPr>
              <w:t>(Commission</w:t>
            </w:r>
          </w:p>
        </w:tc>
        <w:tc>
          <w:tcPr>
            <w:tcW w:w="1820" w:type="dxa"/>
            <w:vAlign w:val="bottom"/>
          </w:tcPr>
          <w:p>
            <w:pPr>
              <w:jc w:val="center"/>
              <w:ind w:left="370"/>
              <w:spacing w:after="0"/>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226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8"/>
              </w:rPr>
              <w:t>of Incorporation)</w:t>
            </w:r>
          </w:p>
        </w:tc>
        <w:tc>
          <w:tcPr>
            <w:tcW w:w="52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8"/>
              </w:rPr>
              <w:t>File Number)</w:t>
            </w:r>
          </w:p>
        </w:tc>
        <w:tc>
          <w:tcPr>
            <w:tcW w:w="1820" w:type="dxa"/>
            <w:vAlign w:val="bottom"/>
          </w:tcPr>
          <w:p>
            <w:pPr>
              <w:jc w:val="center"/>
              <w:ind w:left="39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342"/>
        </w:trPr>
        <w:tc>
          <w:tcPr>
            <w:tcW w:w="2260" w:type="dxa"/>
            <w:vAlign w:val="bottom"/>
          </w:tcPr>
          <w:p>
            <w:pPr>
              <w:spacing w:after="0"/>
              <w:rPr>
                <w:sz w:val="24"/>
                <w:szCs w:val="24"/>
                <w:color w:val="auto"/>
              </w:rPr>
            </w:pPr>
          </w:p>
        </w:tc>
        <w:tc>
          <w:tcPr>
            <w:tcW w:w="520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47 Thorndike Street, Suite B1-1</w:t>
            </w:r>
          </w:p>
        </w:tc>
        <w:tc>
          <w:tcPr>
            <w:tcW w:w="1820" w:type="dxa"/>
            <w:vAlign w:val="bottom"/>
          </w:tcPr>
          <w:p>
            <w:pPr>
              <w:spacing w:after="0"/>
              <w:rPr>
                <w:sz w:val="24"/>
                <w:szCs w:val="24"/>
                <w:color w:val="auto"/>
              </w:rPr>
            </w:pPr>
          </w:p>
        </w:tc>
      </w:tr>
      <w:tr>
        <w:trPr>
          <w:trHeight w:val="220"/>
        </w:trPr>
        <w:tc>
          <w:tcPr>
            <w:tcW w:w="2260" w:type="dxa"/>
            <w:vAlign w:val="bottom"/>
          </w:tcPr>
          <w:p>
            <w:pPr>
              <w:spacing w:after="0"/>
              <w:rPr>
                <w:sz w:val="19"/>
                <w:szCs w:val="19"/>
                <w:color w:val="auto"/>
              </w:rPr>
            </w:pPr>
          </w:p>
        </w:tc>
        <w:tc>
          <w:tcPr>
            <w:tcW w:w="520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Cambridge, MA 02141</w:t>
            </w:r>
          </w:p>
        </w:tc>
        <w:tc>
          <w:tcPr>
            <w:tcW w:w="1820" w:type="dxa"/>
            <w:vAlign w:val="bottom"/>
          </w:tcPr>
          <w:p>
            <w:pPr>
              <w:spacing w:after="0"/>
              <w:rPr>
                <w:sz w:val="19"/>
                <w:szCs w:val="19"/>
                <w:color w:val="auto"/>
              </w:rPr>
            </w:pPr>
          </w:p>
        </w:tc>
      </w:tr>
      <w:tr>
        <w:trPr>
          <w:trHeight w:val="234"/>
        </w:trPr>
        <w:tc>
          <w:tcPr>
            <w:tcW w:w="2260" w:type="dxa"/>
            <w:vAlign w:val="bottom"/>
          </w:tcPr>
          <w:p>
            <w:pPr>
              <w:spacing w:after="0"/>
              <w:rPr>
                <w:sz w:val="20"/>
                <w:szCs w:val="20"/>
                <w:color w:val="auto"/>
              </w:rPr>
            </w:pPr>
          </w:p>
        </w:tc>
        <w:tc>
          <w:tcPr>
            <w:tcW w:w="520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(Address of Principal Executive Office) (Zip Code)</w:t>
            </w:r>
          </w:p>
        </w:tc>
        <w:tc>
          <w:tcPr>
            <w:tcW w:w="1820" w:type="dxa"/>
            <w:vAlign w:val="bottom"/>
          </w:tcPr>
          <w:p>
            <w:pPr>
              <w:spacing w:after="0"/>
              <w:rPr>
                <w:sz w:val="20"/>
                <w:szCs w:val="20"/>
                <w:color w:val="auto"/>
              </w:rPr>
            </w:pPr>
          </w:p>
        </w:tc>
      </w:tr>
      <w:tr>
        <w:trPr>
          <w:trHeight w:val="346"/>
        </w:trPr>
        <w:tc>
          <w:tcPr>
            <w:tcW w:w="2260" w:type="dxa"/>
            <w:vAlign w:val="bottom"/>
          </w:tcPr>
          <w:p>
            <w:pPr>
              <w:spacing w:after="0"/>
              <w:rPr>
                <w:sz w:val="24"/>
                <w:szCs w:val="24"/>
                <w:color w:val="auto"/>
              </w:rPr>
            </w:pPr>
          </w:p>
        </w:tc>
        <w:tc>
          <w:tcPr>
            <w:tcW w:w="520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(617) 714-0360</w:t>
            </w:r>
          </w:p>
        </w:tc>
        <w:tc>
          <w:tcPr>
            <w:tcW w:w="1820" w:type="dxa"/>
            <w:vAlign w:val="bottom"/>
          </w:tcPr>
          <w:p>
            <w:pPr>
              <w:spacing w:after="0"/>
              <w:rPr>
                <w:sz w:val="24"/>
                <w:szCs w:val="24"/>
                <w:color w:val="auto"/>
              </w:rPr>
            </w:pPr>
          </w:p>
        </w:tc>
      </w:tr>
      <w:tr>
        <w:trPr>
          <w:trHeight w:val="234"/>
        </w:trPr>
        <w:tc>
          <w:tcPr>
            <w:tcW w:w="2260" w:type="dxa"/>
            <w:vAlign w:val="bottom"/>
          </w:tcPr>
          <w:p>
            <w:pPr>
              <w:spacing w:after="0"/>
              <w:rPr>
                <w:sz w:val="20"/>
                <w:szCs w:val="20"/>
                <w:color w:val="auto"/>
              </w:rPr>
            </w:pPr>
          </w:p>
        </w:tc>
        <w:tc>
          <w:tcPr>
            <w:tcW w:w="520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1820" w:type="dxa"/>
            <w:vAlign w:val="bottom"/>
          </w:tcPr>
          <w:p>
            <w:pPr>
              <w:spacing w:after="0"/>
              <w:rPr>
                <w:sz w:val="20"/>
                <w:szCs w:val="20"/>
                <w:color w:val="auto"/>
              </w:rPr>
            </w:pPr>
          </w:p>
        </w:tc>
      </w:tr>
      <w:tr>
        <w:trPr>
          <w:trHeight w:val="346"/>
        </w:trPr>
        <w:tc>
          <w:tcPr>
            <w:tcW w:w="2260" w:type="dxa"/>
            <w:vAlign w:val="bottom"/>
          </w:tcPr>
          <w:p>
            <w:pPr>
              <w:spacing w:after="0"/>
              <w:rPr>
                <w:sz w:val="24"/>
                <w:szCs w:val="24"/>
                <w:color w:val="auto"/>
              </w:rPr>
            </w:pPr>
          </w:p>
        </w:tc>
        <w:tc>
          <w:tcPr>
            <w:tcW w:w="520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N/A</w:t>
            </w:r>
          </w:p>
        </w:tc>
        <w:tc>
          <w:tcPr>
            <w:tcW w:w="1820" w:type="dxa"/>
            <w:vAlign w:val="bottom"/>
          </w:tcPr>
          <w:p>
            <w:pPr>
              <w:spacing w:after="0"/>
              <w:rPr>
                <w:sz w:val="24"/>
                <w:szCs w:val="24"/>
                <w:color w:val="auto"/>
              </w:rPr>
            </w:pPr>
          </w:p>
        </w:tc>
      </w:tr>
      <w:tr>
        <w:trPr>
          <w:trHeight w:val="234"/>
        </w:trPr>
        <w:tc>
          <w:tcPr>
            <w:tcW w:w="2260" w:type="dxa"/>
            <w:vAlign w:val="bottom"/>
          </w:tcPr>
          <w:p>
            <w:pPr>
              <w:spacing w:after="0"/>
              <w:rPr>
                <w:sz w:val="20"/>
                <w:szCs w:val="20"/>
                <w:color w:val="auto"/>
              </w:rPr>
            </w:pPr>
          </w:p>
        </w:tc>
        <w:tc>
          <w:tcPr>
            <w:tcW w:w="520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(Former name or former address, if changed since last report)</w:t>
            </w:r>
          </w:p>
        </w:tc>
        <w:tc>
          <w:tcPr>
            <w:tcW w:w="1820" w:type="dxa"/>
            <w:vAlign w:val="bottom"/>
          </w:tcPr>
          <w:p>
            <w:pPr>
              <w:spacing w:after="0"/>
              <w:rPr>
                <w:sz w:val="20"/>
                <w:szCs w:val="20"/>
                <w:color w:val="auto"/>
              </w:rPr>
            </w:pPr>
          </w:p>
        </w:tc>
      </w:tr>
    </w:tbl>
    <w:p>
      <w:pPr>
        <w:spacing w:after="0" w:line="130"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94"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57"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57"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57" w:lineRule="exact"/>
        <w:rPr>
          <w:rFonts w:ascii="MS PGothic" w:cs="MS PGothic" w:eastAsia="MS PGothic" w:hAnsi="MS PGothic"/>
          <w:sz w:val="18"/>
          <w:szCs w:val="18"/>
          <w:color w:val="auto"/>
        </w:rPr>
      </w:pPr>
    </w:p>
    <w:p>
      <w:pPr>
        <w:ind w:right="2860" w:firstLine="8"/>
        <w:spacing w:after="0" w:line="420"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40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32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9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34"/>
        </w:trPr>
        <w:tc>
          <w:tcPr>
            <w:tcW w:w="39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140" w:type="dxa"/>
            <w:vAlign w:val="bottom"/>
          </w:tcPr>
          <w:p>
            <w:pPr>
              <w:spacing w:after="0"/>
              <w:rPr>
                <w:sz w:val="20"/>
                <w:szCs w:val="20"/>
                <w:color w:val="auto"/>
              </w:rPr>
            </w:pPr>
          </w:p>
        </w:tc>
        <w:tc>
          <w:tcPr>
            <w:tcW w:w="31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CYPH</w:t>
            </w:r>
          </w:p>
        </w:tc>
        <w:tc>
          <w:tcPr>
            <w:tcW w:w="120" w:type="dxa"/>
            <w:vAlign w:val="bottom"/>
          </w:tcPr>
          <w:p>
            <w:pPr>
              <w:spacing w:after="0"/>
              <w:rPr>
                <w:sz w:val="20"/>
                <w:szCs w:val="20"/>
                <w:color w:val="auto"/>
              </w:rPr>
            </w:pPr>
          </w:p>
        </w:tc>
        <w:tc>
          <w:tcPr>
            <w:tcW w:w="39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The Nasdaq Capital Market</w:t>
            </w:r>
          </w:p>
        </w:tc>
      </w:tr>
    </w:tbl>
    <w:p>
      <w:pPr>
        <w:spacing w:after="0" w:line="112"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21" w:lineRule="exact"/>
        <w:rPr>
          <w:sz w:val="24"/>
          <w:szCs w:val="24"/>
          <w:color w:val="auto"/>
        </w:rPr>
      </w:pP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10"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102870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548640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90" w:right="339" w:bottom="1440" w:gutter="0" w:footer="0" w:header="0"/>
        </w:sectPr>
      </w:pPr>
    </w:p>
    <w:bookmarkStart w:id="1" w:name="page2"/>
    <w:bookmarkEnd w:id="1"/>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April 7, 2026, Dr. Christopher Mirabelli and Dr. Joseph Loscalzo, members of the Board of Directors (the “Board”) of Cypherpunk Technologies Inc. (the “Company”), each notified the Company of his intent to retire as a member of the Board and not to stand for re-election as a Class III director in connection with the Company’s 2026 Annual Meeting of Stockholders (the “2026 Annual Meeting”), and, accordingly, submitted his resignation from the Board and from any and all committees of the Board, effective as of immediately prior to the 2026 Annual Meeting.</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Also on April 7, 2026, Dr. Richard Schilsky and Dr. James Cavanaugh, members of the Board, each notified the Company of his intent to retire as a member of the Board, effective as of immediately prior to the time and date of the 2026 Annual Meeting. Accordingly, Dr. Schilsky’s and Dr. Cavanaugh’s terms as Class I directors and as members of certain committees of the Board will end upon each director’s respective retirement immediately prior to the 2026 Annual Meeting.</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None of the departures from the Board described herein are due to any disagreement with the Company on any matter relating to the Company’s operations, policies or practices.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thanks Dr. Cavanaugh, Dr. Loscalzo, Dr. Mirabelli and Dr. Schilsky for their years of service and valuable contributions to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62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CYPHERPUNK TECHNOLOGIES INC.</w:t>
            </w:r>
          </w:p>
        </w:tc>
      </w:tr>
      <w:tr>
        <w:trPr>
          <w:trHeight w:val="432"/>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Date: April 10, 2026</w:t>
            </w:r>
          </w:p>
        </w:tc>
        <w:tc>
          <w:tcPr>
            <w:tcW w:w="5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Douglas E. Onsi</w:t>
            </w:r>
          </w:p>
        </w:tc>
      </w:tr>
      <w:tr>
        <w:trPr>
          <w:trHeight w:val="191"/>
        </w:trPr>
        <w:tc>
          <w:tcPr>
            <w:tcW w:w="5620" w:type="dxa"/>
            <w:vAlign w:val="bottom"/>
          </w:tcPr>
          <w:p>
            <w:pPr>
              <w:spacing w:after="0"/>
              <w:rPr>
                <w:sz w:val="16"/>
                <w:szCs w:val="16"/>
                <w:color w:val="auto"/>
              </w:rPr>
            </w:pPr>
          </w:p>
        </w:tc>
        <w:tc>
          <w:tcPr>
            <w:tcW w:w="56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Douglas E. Onsi</w:t>
            </w:r>
          </w:p>
        </w:tc>
      </w:tr>
      <w:tr>
        <w:trPr>
          <w:trHeight w:val="234"/>
        </w:trPr>
        <w:tc>
          <w:tcPr>
            <w:tcW w:w="562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President &amp; CEO</w:t>
            </w:r>
          </w:p>
        </w:tc>
      </w:tr>
      <w:tr>
        <w:trPr>
          <w:trHeight w:val="675"/>
        </w:trPr>
        <w:tc>
          <w:tcPr>
            <w:tcW w:w="5620" w:type="dxa"/>
            <w:vAlign w:val="bottom"/>
            <w:tcBorders>
              <w:bottom w:val="single" w:sz="8" w:color="auto"/>
            </w:tcBorders>
          </w:tcPr>
          <w:p>
            <w:pPr>
              <w:spacing w:after="0"/>
              <w:rPr>
                <w:sz w:val="24"/>
                <w:szCs w:val="24"/>
                <w:color w:val="auto"/>
              </w:rPr>
            </w:pPr>
          </w:p>
        </w:tc>
        <w:tc>
          <w:tcPr>
            <w:tcW w:w="562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2026-04-10T15:12:36Z</dcterms:created>
  <dcterms:modified xsi:type="dcterms:W3CDTF">2026-04-10T15:12:36Z</dcterms:modified>
</cp:coreProperties>
</file>