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tm2620947d1_8k.htm"/>
      <w:bookmarkStart w:id="1" w:name="kstm2620947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9_edei--DocumentType_c20260812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August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533775"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33775" cy="819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0_edei--EntityRegistrantName_c2026"/>
      <w:bookmarkEnd w:id="4"/>
      <w:r>
        <w:rPr>
          <w:rFonts w:ascii="Times New Roman;Times;Serif" w:hAnsi="Times New Roman;Times;Serif"/>
          <w:b/>
          <w:i w:val="false"/>
          <w:caps w:val="false"/>
          <w:smallCaps w:val="false"/>
          <w:sz w:val="28"/>
        </w:rPr>
        <w:t>Cypherpunk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655" w:type="dxa"/>
        <w:jc w:val="left"/>
        <w:tblInd w:w="0" w:type="dxa"/>
        <w:tblLayout w:type="fixed"/>
        <w:tblCellMar>
          <w:top w:w="0" w:type="dxa"/>
          <w:left w:w="0" w:type="dxa"/>
          <w:bottom w:w="0" w:type="dxa"/>
          <w:right w:w="0" w:type="dxa"/>
        </w:tblCellMar>
      </w:tblPr>
      <w:tblGrid>
        <w:gridCol w:w="2420"/>
        <w:gridCol w:w="60"/>
        <w:gridCol w:w="1340"/>
        <w:gridCol w:w="60"/>
        <w:gridCol w:w="1775"/>
      </w:tblGrid>
      <w:tr>
        <w:trPr/>
        <w:tc>
          <w:tcPr>
            <w:tcW w:w="2420" w:type="dxa"/>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b/>
                <w:sz w:val="20"/>
              </w:rPr>
            </w:pPr>
            <w:bookmarkStart w:id="6" w:name="xdx_903_edei--EntityFileNumber_c20260812"/>
            <w:bookmarkEnd w:id="6"/>
            <w:r>
              <w:rPr>
                <w:b/>
                <w:sz w:val="20"/>
              </w:rPr>
              <w:t>001-37990</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7" w:name="xdx_90B_edei--EntityTaxIdentificationNum"/>
            <w:bookmarkEnd w:id="7"/>
            <w:r>
              <w:rPr>
                <w:b/>
                <w:sz w:val="20"/>
              </w:rPr>
              <w:t>27-4412575</w:t>
            </w:r>
          </w:p>
        </w:tc>
      </w:tr>
      <w:tr>
        <w:trPr/>
        <w:tc>
          <w:tcPr>
            <w:tcW w:w="2420" w:type="dxa"/>
            <w:tcBorders/>
            <w:vAlign w:val="center"/>
          </w:tcPr>
          <w:p>
            <w:pPr>
              <w:pStyle w:val="TableContents"/>
              <w:bidi w:val="0"/>
              <w:spacing w:before="0" w:after="283"/>
              <w:jc w:val="center"/>
              <w:rPr>
                <w:sz w:val="20"/>
              </w:rPr>
            </w:pPr>
            <w:r>
              <w:rPr>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 xml:space="preserve">(Commission </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47 Thorndike Street, </w:t>
      </w:r>
      <w:bookmarkStart w:id="9" w:name="xdx_90E_edei--EntityAddressAddressLine2_"/>
      <w:bookmarkEnd w:id="9"/>
      <w:r>
        <w:rPr>
          <w:rFonts w:ascii="Times New Roman;Times;Serif" w:hAnsi="Times New Roman;Times;Serif"/>
          <w:b/>
          <w:i w:val="false"/>
          <w:caps w:val="false"/>
          <w:smallCaps w:val="false"/>
          <w:sz w:val="20"/>
        </w:rPr>
        <w:t>Suite B1-1</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F_edei--EntityAddressCityOrTown_c2"/>
      <w:bookmarkEnd w:id="10"/>
      <w:r>
        <w:rPr>
          <w:rFonts w:ascii="Times New Roman;Times;Serif" w:hAnsi="Times New Roman;Times;Serif"/>
          <w:b/>
          <w:i w:val="false"/>
          <w:caps w:val="false"/>
          <w:smallCaps w:val="false"/>
          <w:sz w:val="20"/>
        </w:rPr>
        <w:t xml:space="preserve">Cambridge, </w:t>
      </w:r>
      <w:bookmarkStart w:id="11" w:name="xdx_908_edei--EntityAddressStateOrProvin"/>
      <w:bookmarkEnd w:id="11"/>
      <w:r>
        <w:rPr>
          <w:rFonts w:ascii="Times New Roman;Times;Serif" w:hAnsi="Times New Roman;Times;Serif"/>
          <w:b/>
          <w:i w:val="false"/>
          <w:caps w:val="false"/>
          <w:smallCaps w:val="false"/>
          <w:sz w:val="20"/>
        </w:rPr>
        <w:t xml:space="preserve">MA </w:t>
      </w:r>
      <w:bookmarkStart w:id="12" w:name="xdx_90A_edei--EntityAddressPostalZipCode"/>
      <w:bookmarkEnd w:id="12"/>
      <w:r>
        <w:rPr>
          <w:rFonts w:ascii="Times New Roman;Times;Serif" w:hAnsi="Times New Roman;Times;Serif"/>
          <w:b/>
          <w:i w:val="false"/>
          <w:caps w:val="false"/>
          <w:smallCaps w:val="false"/>
          <w:sz w:val="20"/>
        </w:rPr>
        <w:t>02141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(Zip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F_edei--CityAreaCode_c20260812__20"/>
      <w:bookmarkEnd w:id="13"/>
      <w:r>
        <w:rPr>
          <w:rFonts w:ascii="Times New Roman;Times;Serif" w:hAnsi="Times New Roman;Times;Serif"/>
          <w:b/>
          <w:i w:val="false"/>
          <w:caps w:val="false"/>
          <w:smallCaps w:val="false"/>
          <w:sz w:val="20"/>
        </w:rPr>
        <w:t xml:space="preserve">617) </w:t>
      </w:r>
      <w:bookmarkStart w:id="14" w:name="xdx_90D_edei--LocalPhoneNumber_c20260812"/>
      <w:bookmarkEnd w:id="14"/>
      <w:r>
        <w:rPr>
          <w:rFonts w:ascii="Times New Roman;Times;Serif" w:hAnsi="Times New Roman;Times;Serif"/>
          <w:b/>
          <w:i w:val="false"/>
          <w:caps w:val="false"/>
          <w:smallCaps w:val="false"/>
          <w:sz w:val="20"/>
        </w:rPr>
        <w:t>714-0360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6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center"/>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C_edei--SolicitingMaterial_c2026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B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7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ind w:left="0" w:right="0" w:hanging="0"/>
        <w:jc w:val="center"/>
        <w:rPr>
          <w:caps w:val="false"/>
          <w:smallCaps w:val="false"/>
        </w:rPr>
      </w:pPr>
      <w:r>
        <w:rPr>
          <w:caps w:val="false"/>
          <w:smallCaps w:val="false"/>
        </w:rPr>
        <w:t> </w:t>
      </w:r>
    </w:p>
    <w:tbl>
      <w:tblPr>
        <w:tblW w:w="8835" w:type="dxa"/>
        <w:jc w:val="left"/>
        <w:tblInd w:w="-10" w:type="dxa"/>
        <w:tblLayout w:type="fixed"/>
        <w:tblCellMar>
          <w:top w:w="28" w:type="dxa"/>
          <w:left w:w="108" w:type="dxa"/>
          <w:bottom w:w="28" w:type="dxa"/>
          <w:right w:w="0" w:type="dxa"/>
        </w:tblCellMar>
      </w:tblPr>
      <w:tblGrid>
        <w:gridCol w:w="3515"/>
        <w:gridCol w:w="1610"/>
        <w:gridCol w:w="3710"/>
      </w:tblGrid>
      <w:tr>
        <w:trPr/>
        <w:tc>
          <w:tcPr>
            <w:tcW w:w="351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b/>
                <w:sz w:val="20"/>
              </w:rPr>
            </w:pPr>
            <w:r>
              <w:rPr>
                <w:b/>
                <w:sz w:val="20"/>
              </w:rPr>
              <w:t>Title of each class</w:t>
            </w:r>
          </w:p>
        </w:tc>
        <w:tc>
          <w:tcPr>
            <w:tcW w:w="161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b/>
                <w:sz w:val="20"/>
              </w:rPr>
            </w:pPr>
            <w:r>
              <w:rPr>
                <w:b/>
                <w:sz w:val="20"/>
              </w:rPr>
              <w:t>Trading Symbol(s)</w:t>
            </w:r>
          </w:p>
        </w:tc>
        <w:tc>
          <w:tcPr>
            <w:tcW w:w="3710"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before="0" w:after="283"/>
              <w:jc w:val="left"/>
              <w:rPr>
                <w:b/>
                <w:sz w:val="20"/>
              </w:rPr>
            </w:pPr>
            <w:r>
              <w:rPr>
                <w:b/>
                <w:sz w:val="20"/>
              </w:rPr>
              <w:t>Name of each exchange on which registered</w:t>
            </w:r>
          </w:p>
        </w:tc>
      </w:tr>
      <w:tr>
        <w:trPr/>
        <w:tc>
          <w:tcPr>
            <w:tcW w:w="3515"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bookmarkStart w:id="19" w:name="xdx_903_edei--Security12bTitle_c20260812"/>
            <w:bookmarkEnd w:id="19"/>
            <w:r>
              <w:rPr>
                <w:sz w:val="20"/>
              </w:rPr>
              <w:t>Common Stock, par value $0.001 per share</w:t>
            </w:r>
          </w:p>
        </w:tc>
        <w:tc>
          <w:tcPr>
            <w:tcW w:w="1610" w:type="dxa"/>
            <w:tcBorders>
              <w:left w:val="single" w:sz="8" w:space="0" w:color="000000"/>
              <w:bottom w:val="single" w:sz="8" w:space="0" w:color="000000"/>
            </w:tcBorders>
            <w:tcMar>
              <w:top w:w="0" w:type="dxa"/>
            </w:tcMar>
            <w:vAlign w:val="center"/>
          </w:tcPr>
          <w:p>
            <w:pPr>
              <w:pStyle w:val="TableContents"/>
              <w:bidi w:val="0"/>
              <w:spacing w:before="0" w:after="283"/>
              <w:jc w:val="left"/>
              <w:rPr>
                <w:sz w:val="20"/>
              </w:rPr>
            </w:pPr>
            <w:bookmarkStart w:id="20" w:name="xdx_902_edei--TradingSymbol_c20260812__2"/>
            <w:bookmarkEnd w:id="20"/>
            <w:r>
              <w:rPr>
                <w:sz w:val="20"/>
              </w:rPr>
              <w:t>CYPH</w:t>
            </w:r>
          </w:p>
        </w:tc>
        <w:tc>
          <w:tcPr>
            <w:tcW w:w="371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sz w:val="20"/>
              </w:rPr>
            </w:pPr>
            <w:r>
              <w:rPr>
                <w:sz w:val="20"/>
              </w:rPr>
              <w:t xml:space="preserve">The </w:t>
            </w:r>
            <w:bookmarkStart w:id="21" w:name="xdx_903_edei--SecurityExchangeName_c2026"/>
            <w:bookmarkEnd w:id="21"/>
            <w:r>
              <w:rPr>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Cypherpunk Technologies Inc. (the “Company”) announced its financial results for the quarter ended June 30, 2026. The full text of the press release issued by the Company in connection with the announcement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herein and in the accompanying exhibit shall not be incorporated by reference into any filing of the Company, whether made before or after the date hereof, regardless of any general incorporation language in such filing, unless expressly incorporated by specific reference to such filing. The information in this Current Report on Form 8-K, including the information set forth under this Item 2.02 and the exhibit hereto, shall not be deemed to be “filed” for purposes of Section 18 of the Securities Exchange Act of 1934, as amended, or otherwise subject to the liabilities of that section or Sections 11 and 12(a)(2)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Also on August 12, 2026, Leap Therapeutics, Inc., the biotechnology subsidiary of the Company, announced the publication of results from the randomized Phase 2 DeFianCe study of sirexatamab (DKN-01), an anti-DKK1 monoclonal antibody, in </w:t>
      </w:r>
      <w:r>
        <w:rPr>
          <w:rFonts w:ascii="Times New Roman;Times;Serif" w:hAnsi="Times New Roman;Times;Serif"/>
          <w:b w:val="false"/>
          <w:i/>
          <w:caps w:val="false"/>
          <w:smallCaps w:val="false"/>
          <w:sz w:val="20"/>
        </w:rPr>
        <w:t>Clinical Cancer Research</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news release is filed with this Current Report on Form 8-K as Exhibit 99.2 and incorporated into this Item 8.01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8695" w:type="dxa"/>
        <w:jc w:val="left"/>
        <w:tblInd w:w="0" w:type="dxa"/>
        <w:tblLayout w:type="fixed"/>
        <w:tblCellMar>
          <w:top w:w="0" w:type="dxa"/>
          <w:left w:w="0" w:type="dxa"/>
          <w:bottom w:w="28" w:type="dxa"/>
          <w:right w:w="0" w:type="dxa"/>
        </w:tblCellMar>
      </w:tblPr>
      <w:tblGrid>
        <w:gridCol w:w="950"/>
        <w:gridCol w:w="60"/>
        <w:gridCol w:w="7685"/>
      </w:tblGrid>
      <w:tr>
        <w:trPr/>
        <w:tc>
          <w:tcPr>
            <w:tcW w:w="950" w:type="dxa"/>
            <w:tcBorders>
              <w:bottom w:val="single" w:sz="8" w:space="0" w:color="000000"/>
            </w:tcBorders>
            <w:vAlign w:val="center"/>
          </w:tcPr>
          <w:p>
            <w:pPr>
              <w:pStyle w:val="TableContents"/>
              <w:bidi w:val="0"/>
              <w:spacing w:before="0" w:after="283"/>
              <w:jc w:val="center"/>
              <w:rPr/>
            </w:pPr>
            <w:r>
              <w:rPr>
                <w:b/>
              </w:rPr>
              <w:t>Exhibit</w:t>
              <w:br/>
              <w:t>Number</w:t>
            </w:r>
            <w:r>
              <w:rPr/>
              <w:t xml:space="preserve"> </w:t>
            </w:r>
          </w:p>
        </w:tc>
        <w:tc>
          <w:tcPr>
            <w:tcW w:w="60" w:type="dxa"/>
            <w:tcBorders/>
            <w:tcMar>
              <w:bottom w:w="0" w:type="dxa"/>
            </w:tcMar>
            <w:vAlign w:val="center"/>
          </w:tcPr>
          <w:p>
            <w:pPr>
              <w:pStyle w:val="TableContents"/>
              <w:bidi w:val="0"/>
              <w:spacing w:before="0" w:after="283"/>
              <w:jc w:val="center"/>
              <w:rPr/>
            </w:pPr>
            <w:r>
              <w:rPr/>
              <w:t> </w:t>
            </w:r>
          </w:p>
        </w:tc>
        <w:tc>
          <w:tcPr>
            <w:tcW w:w="7685" w:type="dxa"/>
            <w:tcBorders>
              <w:bottom w:val="single" w:sz="8" w:space="0" w:color="000000"/>
            </w:tcBorders>
            <w:vAlign w:val="center"/>
          </w:tcPr>
          <w:p>
            <w:pPr>
              <w:pStyle w:val="TableContents"/>
              <w:bidi w:val="0"/>
              <w:spacing w:before="0" w:after="283"/>
              <w:jc w:val="center"/>
              <w:rPr/>
            </w:pPr>
            <w:r>
              <w:rPr>
                <w:b/>
              </w:rPr>
              <w:t>Description</w:t>
            </w:r>
            <w:r>
              <w:rPr/>
              <w:t xml:space="preserve"> </w:t>
            </w:r>
          </w:p>
        </w:tc>
      </w:tr>
      <w:tr>
        <w:trPr/>
        <w:tc>
          <w:tcPr>
            <w:tcW w:w="950" w:type="dxa"/>
            <w:tcBorders/>
            <w:tcMar>
              <w:bottom w:w="0" w:type="dxa"/>
            </w:tcMar>
            <w:vAlign w:val="center"/>
          </w:tcPr>
          <w:p>
            <w:pPr>
              <w:pStyle w:val="TableContents"/>
              <w:bidi w:val="0"/>
              <w:spacing w:before="0" w:after="283"/>
              <w:jc w:val="center"/>
              <w:rPr/>
            </w:pPr>
            <w:hyperlink w:anchor="tm2622925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hyperlink w:anchor="tm2622925d1_ex99-1.htm">
              <w:r>
                <w:rPr>
                  <w:rStyle w:val="InternetLink"/>
                </w:rPr>
                <w:t>Press Release of Cypherpunk Technologies Inc. dated August 12, 2026.</w:t>
              </w:r>
            </w:hyperlink>
          </w:p>
        </w:tc>
      </w:tr>
      <w:tr>
        <w:trPr/>
        <w:tc>
          <w:tcPr>
            <w:tcW w:w="950" w:type="dxa"/>
            <w:tcBorders/>
            <w:tcMar>
              <w:bottom w:w="0" w:type="dxa"/>
            </w:tcMar>
            <w:vAlign w:val="center"/>
          </w:tcPr>
          <w:p>
            <w:pPr>
              <w:pStyle w:val="TableContents"/>
              <w:bidi w:val="0"/>
              <w:spacing w:before="0" w:after="283"/>
              <w:jc w:val="center"/>
              <w:rPr/>
            </w:pPr>
            <w:hyperlink w:anchor="tm2622925d1_ex99-2.htm">
              <w:r>
                <w:rPr>
                  <w:rStyle w:val="InternetLink"/>
                </w:rPr>
                <w:t>99.2</w:t>
              </w:r>
            </w:hyperlink>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hyperlink w:anchor="tm2622925d1_ex99-2.htm">
              <w:r>
                <w:rPr>
                  <w:rStyle w:val="InternetLink"/>
                </w:rPr>
                <w:t>Press Release of Leap Therapeutics, Inc. dated August 12, 2026.</w:t>
              </w:r>
            </w:hyperlink>
          </w:p>
        </w:tc>
      </w:tr>
      <w:tr>
        <w:trPr/>
        <w:tc>
          <w:tcPr>
            <w:tcW w:w="950" w:type="dxa"/>
            <w:tcBorders/>
            <w:tcMar>
              <w:bottom w:w="0" w:type="dxa"/>
            </w:tcMar>
            <w:vAlign w:val="center"/>
          </w:tcPr>
          <w:p>
            <w:pPr>
              <w:pStyle w:val="TableContents"/>
              <w:bidi w:val="0"/>
              <w:spacing w:before="0" w:after="283"/>
              <w:jc w:val="center"/>
              <w:rPr/>
            </w:pPr>
            <w:r>
              <w:rPr/>
              <w:t>104 </w:t>
            </w:r>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865"/>
        <w:gridCol w:w="345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4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CYPHERPUNK TECHNOLOGIES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4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34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Douglas E. Onsi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E. Onsi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CEO</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right"/>
        <w:rPr>
          <w:b/>
        </w:rPr>
      </w:pPr>
      <w:bookmarkStart w:id="23" w:name="tm2622925d1_ex99-1.htm"/>
      <w:bookmarkStart w:id="24" w:name="kstm2622925d1_ex991"/>
      <w:bookmarkEnd w:id="23"/>
      <w:bookmarkEnd w:id="24"/>
      <w:r>
        <w:rPr>
          <w:b/>
        </w:rPr>
        <w:t>Exhibit 99.1</w:t>
      </w:r>
      <w:r>
        <w:br w:type="page"/>
      </w:r>
    </w:p>
    <w:p>
      <w:pPr>
        <w:pStyle w:val="TextBody"/>
        <w:bidi w:val="0"/>
        <w:spacing w:before="0" w:after="0"/>
        <w:jc w:val="center"/>
        <w:rPr/>
      </w:pPr>
      <w:r>
        <w:rPr/>
        <w:t> </w:t>
      </w:r>
    </w:p>
    <w:p>
      <w:pPr>
        <w:pStyle w:val="TextBody"/>
        <w:bidi w:val="0"/>
        <w:spacing w:before="0" w:after="0"/>
        <w:jc w:val="center"/>
        <w:rPr/>
      </w:pPr>
      <w:r>
        <w:rPr/>
        <w:drawing>
          <wp:inline distT="0" distB="0" distL="0" distR="0">
            <wp:extent cx="3533775" cy="819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533775" cy="819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Cypherpunk Technologies Reports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Cambridge, Mass. – August 12, 2026</w:t>
      </w:r>
      <w:r>
        <w:rPr>
          <w:rFonts w:ascii="Times New Roman;Times;Serif" w:hAnsi="Times New Roman;Times;Serif"/>
          <w:b w:val="false"/>
          <w:i w:val="false"/>
          <w:caps w:val="false"/>
          <w:smallCaps w:val="false"/>
          <w:sz w:val="20"/>
        </w:rPr>
        <w:t xml:space="preserve"> – Cypherpunk Technologies Inc., (Nasdaq: CYPH) ("Cypherpunk"), today reported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Cypherpunk built upon the momentum established earlier this year through the disciplined execution of our Zcash digital asset treasury strategy, increasing our treasury holdings to 323,394.38 ZEC, and welcoming Dev Ojha, founder of Valar Group, as an Advisor,” said Douglas E. Onsi, President and CEO of Cypherpunk Technologies. “Our Leap Therapeutics subsidiary reached alignment with the FDA on a proposed Phase 3 trial in a DKK1-high, second-line, metastatic colorectal cancer population, with objective response rate as the primary endpoint to support accelerated approval and overall survival to support full approval in the United States and registration globally. We are conducting a strategic process to determine the best path to advance sirexatamab, whether as an independently financed spin-out company or with a partner who shares our commitment to cancer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an increasingly AI-driven economy, the demand for true privacy is moving from a technical preference to a civilizational necessity. Our execution in the second quarter reinforces Cypherpunk’s conviction in Zcash as a foundational monetary asset. By growing our ZEC treasury, expanding our world-class advisory team, and continuing to back core infrastructure developers like ZODL, we are systematically positioning Cypherpunk to capture the long-term value of digital privacy adoption,” said Will McEvoy, Chief Investment Officer of Cypherpunk.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Cypherpunk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37" w:type="dxa"/>
            <w:tcBorders/>
            <w:vAlign w:val="center"/>
          </w:tcPr>
          <w:p>
            <w:pPr>
              <w:pStyle w:val="TableContents"/>
              <w:bidi w:val="0"/>
              <w:spacing w:before="0" w:after="283"/>
              <w:jc w:val="both"/>
              <w:rPr>
                <w:b/>
              </w:rPr>
            </w:pPr>
            <w:r>
              <w:rPr>
                <w:b/>
              </w:rPr>
              <w:t>Zcash treasury holdings increased to 323,394.38 ZEC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As of August 11, 2026, Cypherpunk held a total of 323,394.38 ZEC at an average purchase price of $341.83, representing approximately 1.92% of the total circulating supply of the Zcash network.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ZEC is a digital currency that can be transmitted over a peer-to-peer payment system. Zcash uses a cryptographic method called “zero-knowledge proofs” to allow users to engage in financial transactions while maintaining greater privacy.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299"/>
        <w:gridCol w:w="9803"/>
      </w:tblGrid>
      <w:tr>
        <w:trPr/>
        <w:tc>
          <w:tcPr>
            <w:tcW w:w="10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03" w:type="dxa"/>
            <w:tcBorders/>
            <w:vAlign w:val="center"/>
          </w:tcPr>
          <w:p>
            <w:pPr>
              <w:pStyle w:val="TableContents"/>
              <w:bidi w:val="0"/>
              <w:spacing w:before="0" w:after="283"/>
              <w:jc w:val="both"/>
              <w:rPr>
                <w:b/>
              </w:rPr>
            </w:pPr>
            <w:r>
              <w:rPr>
                <w:b/>
              </w:rPr>
              <w:t>Dev Ojha Appointed as an Advisor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Cypherpunk appointed Dev Ojha, the founder of Valar Group, a leading development and research team focused on the Zcash Network, as an Advisor. Valar Group has taken a significant role in developing Zakura, a high-performance full node software designed for massive scalability of Zcash, and on the Ironwood shielded pool. Dev also serves as an official ZIP Editor for Zcash protocol standards. Cypherpunk’s Advisory Team also includes: Arjun Khemani, Zcash key opinion leader; Josh Swihart, CEO of ZODL; Jeff Tiller, Chief of Staff of Gemini; and Zooko Wilcox, Founder of Zcash and Chief Product Officer at Shielded Labs.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Leap Therapeutics Subsidiary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36"/>
        <w:gridCol w:w="10023"/>
      </w:tblGrid>
      <w:tr>
        <w:trPr/>
        <w:tc>
          <w:tcPr>
            <w:tcW w:w="4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3" w:type="dxa"/>
            <w:tcBorders/>
            <w:vAlign w:val="center"/>
          </w:tcPr>
          <w:p>
            <w:pPr>
              <w:pStyle w:val="TableContents"/>
              <w:bidi w:val="0"/>
              <w:spacing w:before="0" w:after="283"/>
              <w:jc w:val="both"/>
              <w:rPr>
                <w:b/>
              </w:rPr>
            </w:pPr>
            <w:r>
              <w:rPr>
                <w:b/>
              </w:rPr>
              <w:t xml:space="preserve">Publication of randomized Phase 2 DeFianCe study in </w:t>
            </w:r>
            <w:r>
              <w:rPr>
                <w:b/>
                <w:i/>
              </w:rPr>
              <w:t>Clinical Cancer Research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 xml:space="preserve">Leap Therapeutics announced the publication of results from the randomized Phase 2 DeFianCe (NCT05480306) study of sirexatamab (DKN-01), an anti-DKK1 monoclonal antibody, in </w:t>
            </w:r>
            <w:r>
              <w:rPr>
                <w:i/>
              </w:rPr>
              <w:t>Clinical Cancer Research</w:t>
            </w:r>
            <w:r>
              <w:rPr/>
              <w:t>. The publication, “Sirexatamab in Combination with Bevacizumab and Chemotherapy as Second-Line Therapy for Advanced Colorectal Adenocarcinoma: the Phase II DeFianCe Trial," reported the complete efficacy, safety, and biomarker analyses from the study and details the statistical basis for the DKK1 biomarker finding.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The peer-reviewed analyses establish that, while the prespecified primary endpoint was not met in the intent-to-treat population, the benefit of sirexatamab increases as a patient's baseline plasma DKK1 level rises — a relationship confirmed by independent statistical approaches and reinforced by the observation that high DKK1 predicts poorer outcomes on standard of care alone. Together, these findings define DKK1-high metastatic colorectal cancer (mCRC) as a biologically distinct population with high unmet need.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5"/>
        <w:gridCol w:w="10038"/>
      </w:tblGrid>
      <w:tr>
        <w:trPr/>
        <w:tc>
          <w:tcPr>
            <w:tcW w:w="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8" w:type="dxa"/>
            <w:tcBorders/>
            <w:vAlign w:val="center"/>
          </w:tcPr>
          <w:p>
            <w:pPr>
              <w:pStyle w:val="TableContents"/>
              <w:bidi w:val="0"/>
              <w:spacing w:before="0" w:after="283"/>
              <w:jc w:val="both"/>
              <w:rPr>
                <w:b/>
              </w:rPr>
            </w:pPr>
            <w:r>
              <w:rPr>
                <w:b/>
              </w:rPr>
              <w:t>Reached FDA alignment on registrational Phase 3 trial in DKK1-high colorectal cancer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Leap Therapeutics held a Type C meeting with the FDA to discuss the DeFianCe results and proposed registrational path for sirexatamab in DKK1-high, second-line mCRC. Leap presented its proposed Phase 3 trial design, and the FDA provided feedback supporting key elements of that design, including the use of a DKK1 biomarker-selected patient population and a dual-endpoint structure intended to support both accelerated and full approval.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Leap Therapeutics reached alignment with the FDA on a randomized, controlled Phase 3 trial evaluating sirexatamab in combination with investigator’s-choice fluoropyrimidine-based chemotherapy (FOLFIRI or mFOLFOX6) plus bevacizumab, compared with chemotherapy and bevacizumab alone. Approximately 270 patients with mCRC whose disease has progressed following one prior line of systemic therapy prospectively identified as DKK1-high using a baseline plasma DKK1 assay cut point are expected to be enrolled and randomized 1:1. Potential accelerated approval in the United States could be determined by objective response rate (ORR) in an initial group of approximately 160 patients, and overall survival (OS) will be evaluated in the full study population intended to support a filing for full approval in the United States and to support registration in markets outside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A blood-based companion diagnostic would be developed in parallel to identify DKK1-high patients in routine clinical practice.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191"/>
        <w:gridCol w:w="9949"/>
      </w:tblGrid>
      <w:tr>
        <w:trPr/>
        <w:tc>
          <w:tcPr>
            <w:tcW w:w="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9" w:type="dxa"/>
            <w:tcBorders/>
            <w:vAlign w:val="center"/>
          </w:tcPr>
          <w:p>
            <w:pPr>
              <w:pStyle w:val="TableContents"/>
              <w:bidi w:val="0"/>
              <w:spacing w:before="0" w:after="283"/>
              <w:jc w:val="both"/>
              <w:rPr>
                <w:b/>
              </w:rPr>
            </w:pPr>
            <w:r>
              <w:rPr>
                <w:b/>
              </w:rPr>
              <w:t>Sirexatamab received Fast Track designation from FDA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In May 2026, the FDA granted Fast Track designation to sirexatamab in combination with fluoropyrimidine plus oxaliplatin- or irinotecan-based chemotherapy and bevacizumab, for the treatment of patients with DKK1-high mCRC whose disease has progressed following one prior systemic therapy.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The Fast Track program is intended to facilitate the development and expedite the review of drug candidates and vaccines that treat serious conditions and fill an unmet medical need. Programs with Fast Track designation may benefit from frequent communication with the FDA, in addition to a rolling submission of the marketing application.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3"/>
        <w:gridCol w:w="617"/>
        <w:gridCol w:w="9375"/>
      </w:tblGrid>
      <w:tr>
        <w:trPr/>
        <w:tc>
          <w:tcPr>
            <w:tcW w:w="21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75" w:type="dxa"/>
            <w:tcBorders/>
            <w:vAlign w:val="center"/>
          </w:tcPr>
          <w:p>
            <w:pPr>
              <w:pStyle w:val="TableContents"/>
              <w:bidi w:val="0"/>
              <w:spacing w:before="0" w:after="283"/>
              <w:jc w:val="both"/>
              <w:rPr>
                <w:b/>
              </w:rPr>
            </w:pPr>
            <w:r>
              <w:rPr>
                <w:b/>
              </w:rPr>
              <w:t>Business update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Leap Therapeutics has initiated a strategic process to identify the best path forward for sirexatamab and to secure the resources required to advance the program into Phase 3 development. The process is expected to consider a range of alternatives, which may include financing the program as an independent entity, or a strategic transaction with a pharmaceutical or biotechnology company, including a partnership, license, collaboration, sale, or other business combination.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t>There can be no assurance that the strategic process will result in any transaction or financing, or that any transaction or financing that is completed will be on terms favorable to the Company or its stockholders. The Company has not set a timetable for the conclusion of the process and does not intend to disclose developments unless and until it determines that further disclosure is appropriate or required.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Selected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was $39.4 million, or $0.18 per diluted share, for the second quarter of 2026, compared to a net loss of $16.6 million for the second quarter of 2025. The change was primarily due to a $46.0 million unrealized gain on the fair value of the Company's ZEC treasury holdings during the second quarter of 2026, which are marked to market at the end of each period. During the second quarter of 2026, the price of ZEC increased from $243.35 to $400.09.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$0.2 million for the three months ended June 30, 2026, compared to $10.5 million for the same period in 2025. The decrease was primarily due to a decrease in clinical trial and manufacturing expenses due to the completion of the clinical trials, together with a decrease in payroll and related expenses associated with the 2025 reduction in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$4.5 million for the three months ended June 30, 2026, compared to $1.8 million for the same period in 2025. The increase of $2.7 million for the three months ended June 30, 2026 was primarily due to a $1.7 million increase in stock-based compensation related to restricted stock units granted to general and administrative employees and directors in the fourth quarter of 2025, a $0.8 million increase in payroll and related expenses, and a $0.2 million increase in professional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the Company recorded a $46.0 million unrealized gain on the change in fair value of the Company’s ZEC treasury holdings as the price of ZEC increased during the second quarter of 2026 from $243.35 to $400.09.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totaled $7.6 million on June 30, 2026, and ZEC treasury holdings, categorized as digital asset receivable, totaled $129.4 million based on the ZEC price of $400.09 on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Cypherpunk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Cypherpunk Technologies is a privacy technology company. The Company's mission is to advance technologies that guarantee privacy for humans on the internet. Cypherpunk pursues this mission through two primary strategies: accumulating Zcash (ZEC); and investing in, acquiring, and building technologies that push the frontier of privacy forward. Additionally, through its subsidiary Leap Therapeutics, the Company is developing novel therapies for patients with cancer, continuing the development of sirexatamab and FL-501. For more information about the Company, visit our websites at http://www.cypherpunk.com and http://www.leaptx.com or view our public filings with the SEC that are available via EDGAR at </w:t>
      </w:r>
      <w:r>
        <w:rPr>
          <w:rFonts w:ascii="Times New Roman;Times;Serif" w:hAnsi="Times New Roman;Times;Serif"/>
          <w:b w:val="false"/>
          <w:i w:val="false"/>
          <w:caps w:val="false"/>
          <w:smallCaps w:val="false"/>
          <w:sz w:val="20"/>
          <w:u w:val="single"/>
        </w:rPr>
        <w:t>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This press release includes forward-looking statements within the meaning of Section 27A of the Securities Act of 1933, as amended, Section 21E of the Securities Exchange Act of 1934, as amended. These forward-looking statements generally can be identified by the use of words such as "anticipate," "expect," "plan," "could," "may," "will," "believe," "estimate," "forecast," "goal," "project," and other words of similar meaning. Forward-looking statements address various matters including statements relating to the value of the Company’s ZEC holdings, the investment in Zcash Open Development Labs (“ZODL”), or digital assets held or to be held by the Company, the expected future market, price, and liquidity of ZEC or other digital assets the Company acquires, the macro and political conditions surrounding Zcash or digital assets, the Company’s plan for value creation and strategic advantages, market size and growth opportunities, regulatory conditions, competitive position and the interest of other corporations in similar business strategies, technological and market trends, and future financial condition and performance. Risks and uncertainties of the digital asset treasury strategy include, among others: (a) risks relating to the Company’s operations and business, including the highly volatile nature of the price of ZEC; (b) the risk that material changes in the price of ZEC, such as decreases in price, will result in significant changes to the Company’s financial statements, such as unrealized losses on fair value of ZEC holdings and net loss; (c) the risk that the price of the Company’s common stock may be highly correlated to the price of ZEC; (d) the risk that the Company will fail to realize the anticipated benefits of the ZEC digital asset treasury strategy or the investment in ZODL; (e) risks related to the custody of our ZEC and our reliance on Gemini Space Station and its affiliates for trading and custody services; (f) changes in business, market, financial, political and regulatory conditions; (g) risks related to increased competition in the industries in which the Company does and will operate; (h) risks relating to significant legal, commercial, regulatory and technical uncertainty regarding digital assets generally; (i) risks relating to the treatment of crypto assets for U.S. and foreign tax purposes; </w:t>
      </w:r>
      <w:r>
        <w:rPr>
          <w:rFonts w:ascii="Times New Roman;Times;Serif" w:hAnsi="Times New Roman;Times;Serif"/>
          <w:b w:val="false"/>
          <w:i w:val="false"/>
          <w:caps w:val="false"/>
          <w:smallCaps w:val="false"/>
          <w:sz w:val="20"/>
        </w:rPr>
        <w:t>and (j) the Company’s ability to comply with the continued listing requirements of the Nasdaq Capital Market</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biotechnology operations, important factors that could cause actual results to differ materially from our plans, estimates or expectations could include, but are not limited to: (i) the DeFianCe study did not meet its prespecified primary endpoint of progression-free survival in the intent-to-treat population; (ii) the DKK1 biomarker subgroup and interaction analyses were exploratory, were based on a limited number of patients, were not adjusted for multiplicity, and may not be replicated in a prospective clinical trial; (iii) the impact of imbalances between treatment arms in the DKK1 subgroups; (iv) the risk that alignment with the FDA on trial design does not constitute agreement that any trial will succeed or that any marketing application will be accepted or approved, and the FDA may change its position at any time; (v) accelerated approval, if pursued, requires that the surrogate endpoint be reasonably likely to predict clinical benefit and is subject to confirmatory trial requirements and possible withdrawal if such requirements are not satisfied; (vi) the Company’s ability to initiate or complete the Phase 3 trial on the anticipated timeline or at all; (vii) the Company’s ability to obtain additional capital to advance sirexatamab on acceptable terms or at all; (viii) that risk that the strategic process may not result in any transaction or financing, may be terminated at any time, and any resulting transaction may not be on terms favorable to the Company or its stockholders; (ix) the Company’s ability to develop and validate a companion diagnostic; (x) the success of competing therapies; (xi) the Company’s ability to secure manufacturing capacity for sirexatamab; and (xii) the Company's ability to maintain and protect its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New risks and uncertainties may emerge from time to time, and it is not possible to predict all risks and uncertainties. No representations or warranties (expressed or implied) are made about the accuracy of any such forward-looking statements. The Company may not actually achieve the forecasts disclosed in such forward-looking statements, and you should not place undue reliance on such forward-looking statements. Such forward-looking statements are subject to a number of material risks and uncertainties including but not limited to those set forth under the caption "Risk Factors" in the Company’s most recent Annual Report on Form 10-K filed with the SEC, or as may be included in other reports or information we file with the SEC, as well as discussions of potential risks, uncertainties, and other important factors in its subsequent filings with the SEC. Any forward-looking statement speaks only as of the date on which it was made. Neither the Company, nor any of its affiliates, advisors or representatives, undertake any obligation to publicly update or revise any forward-looking statement, whether as a result of new information, future events or otherwise, except as required by law. These forward-looking statements should not be relied upon as representing the Company’s views as of any date subsequent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Cypherpunk Technologies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666"/>
        <w:gridCol w:w="60"/>
        <w:gridCol w:w="125"/>
        <w:gridCol w:w="978"/>
        <w:gridCol w:w="80"/>
        <w:gridCol w:w="60"/>
        <w:gridCol w:w="162"/>
        <w:gridCol w:w="987"/>
        <w:gridCol w:w="87"/>
      </w:tblGrid>
      <w:tr>
        <w:trPr/>
        <w:tc>
          <w:tcPr>
            <w:tcW w:w="766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14,035</w:t>
            </w:r>
          </w:p>
        </w:tc>
        <w:tc>
          <w:tcPr>
            <w:tcW w:w="8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129,387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147,404</w:t>
            </w:r>
          </w:p>
        </w:tc>
        <w:tc>
          <w:tcPr>
            <w:tcW w:w="8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incentive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w:t>
            </w:r>
          </w:p>
        </w:tc>
        <w:tc>
          <w:tcPr>
            <w:tcW w:w="8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137,550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162,081</w:t>
            </w:r>
          </w:p>
        </w:tc>
        <w:tc>
          <w:tcPr>
            <w:tcW w:w="8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8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CCEEFF" w:val="clear"/>
            <w:vAlign w:val="center"/>
          </w:tcPr>
          <w:p>
            <w:pPr>
              <w:pStyle w:val="TableContents"/>
              <w:bidi w:val="0"/>
              <w:spacing w:before="0" w:after="283"/>
              <w:jc w:val="left"/>
              <w:rPr>
                <w:sz w:val="20"/>
              </w:rPr>
            </w:pPr>
            <w:r>
              <w:rPr>
                <w:sz w:val="20"/>
              </w:rPr>
              <w:t>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w:t>
            </w:r>
          </w:p>
        </w:tc>
        <w:tc>
          <w:tcPr>
            <w:tcW w:w="8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163,182</w:t>
            </w:r>
          </w:p>
        </w:tc>
        <w:tc>
          <w:tcPr>
            <w:tcW w:w="8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1,981</w:t>
            </w:r>
          </w:p>
        </w:tc>
        <w:tc>
          <w:tcPr>
            <w:tcW w:w="8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2,067</w:t>
            </w:r>
          </w:p>
        </w:tc>
        <w:tc>
          <w:tcPr>
            <w:tcW w:w="8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w:t>
            </w:r>
          </w:p>
        </w:tc>
        <w:tc>
          <w:tcPr>
            <w:tcW w:w="8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4,558</w:t>
            </w:r>
          </w:p>
        </w:tc>
        <w:tc>
          <w:tcPr>
            <w:tcW w:w="8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5,118</w:t>
            </w:r>
          </w:p>
        </w:tc>
        <w:tc>
          <w:tcPr>
            <w:tcW w:w="8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9,676</w:t>
            </w:r>
          </w:p>
        </w:tc>
        <w:tc>
          <w:tcPr>
            <w:tcW w:w="8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6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6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$0.001 par value; 10,000,000 shares authorized; 0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490,000,000 shares authorized; 107,764,382 and 83,851,051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8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subscription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8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639,618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616,216</w:t>
            </w:r>
          </w:p>
        </w:tc>
        <w:tc>
          <w:tcPr>
            <w:tcW w:w="8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(500,326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(462,549</w:t>
            </w:r>
          </w:p>
        </w:tc>
        <w:tc>
          <w:tcPr>
            <w:tcW w:w="8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139,319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153,506</w:t>
            </w:r>
          </w:p>
        </w:tc>
        <w:tc>
          <w:tcPr>
            <w:tcW w:w="8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163,182</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Cypherpunk Technologies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283"/>
        <w:jc w:val="left"/>
        <w:rPr/>
      </w:pPr>
      <w:r>
        <w:rPr/>
        <w:t> </w:t>
      </w:r>
    </w:p>
    <w:tbl>
      <w:tblPr>
        <w:tblW w:w="9701" w:type="dxa"/>
        <w:jc w:val="left"/>
        <w:tblInd w:w="0" w:type="dxa"/>
        <w:tblLayout w:type="fixed"/>
        <w:tblCellMar>
          <w:top w:w="0" w:type="dxa"/>
          <w:left w:w="0" w:type="dxa"/>
          <w:bottom w:w="0" w:type="dxa"/>
          <w:right w:w="0" w:type="dxa"/>
        </w:tblCellMar>
      </w:tblPr>
      <w:tblGrid>
        <w:gridCol w:w="4475"/>
        <w:gridCol w:w="60"/>
        <w:gridCol w:w="132"/>
        <w:gridCol w:w="1118"/>
        <w:gridCol w:w="84"/>
        <w:gridCol w:w="63"/>
        <w:gridCol w:w="132"/>
        <w:gridCol w:w="1007"/>
        <w:gridCol w:w="80"/>
        <w:gridCol w:w="60"/>
        <w:gridCol w:w="125"/>
        <w:gridCol w:w="1055"/>
        <w:gridCol w:w="80"/>
        <w:gridCol w:w="60"/>
        <w:gridCol w:w="125"/>
        <w:gridCol w:w="950"/>
        <w:gridCol w:w="95"/>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6"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9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11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23,448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4,492</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4,689</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(4,689</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(32,798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Australian research and development incentives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embedded derivative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45,993</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gain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41,362</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(32,078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from (provision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(1,973</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common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39,389</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(32,078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per share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184,328,441</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41,444,979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176,260,808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41,357,423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217,343,013</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41,444,979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176,260,808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41,357,423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Leap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96"/>
        <w:gridCol w:w="60"/>
        <w:gridCol w:w="193"/>
        <w:gridCol w:w="914"/>
        <w:gridCol w:w="123"/>
        <w:gridCol w:w="92"/>
        <w:gridCol w:w="193"/>
        <w:gridCol w:w="1007"/>
        <w:gridCol w:w="80"/>
        <w:gridCol w:w="60"/>
        <w:gridCol w:w="169"/>
        <w:gridCol w:w="880"/>
        <w:gridCol w:w="107"/>
        <w:gridCol w:w="80"/>
        <w:gridCol w:w="169"/>
        <w:gridCol w:w="880"/>
        <w:gridCol w:w="102"/>
      </w:tblGrid>
      <w:tr>
        <w:trPr/>
        <w:tc>
          <w:tcPr>
            <w:tcW w:w="5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3"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2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(2,692</w:t>
            </w:r>
          </w:p>
        </w:tc>
        <w:tc>
          <w:tcPr>
            <w:tcW w:w="1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(6,122</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(28,966</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(9,544</w:t>
            </w:r>
          </w:p>
        </w:tc>
        <w:tc>
          <w:tcPr>
            <w:tcW w:w="1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(18,544</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provided by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13,167</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18,242</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(6,411</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(29,119</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6,689</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14,035</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47,249</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7,624</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7,624</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18,130</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E. Onsi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Executive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Cypherpunk Technologies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617-714-0360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DeYoung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Argot Partners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212-600-1902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leap@argotpartners.com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Jacqueline Ortiz Ramsay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Factor Strategies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954-294-3249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jacqueline@itfactorstrategies.com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5" w:name="tm2622925d1_ex99-2.htm"/>
      <w:bookmarkStart w:id="26" w:name="kstm2622925d1_ex992"/>
      <w:bookmarkEnd w:id="25"/>
      <w:bookmarkEnd w:id="26"/>
      <w:r>
        <w:rPr>
          <w:b/>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1933575" cy="561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33575" cy="5619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Leap Therapeutics Announces Publication of DeFianCe Study Results in </w:t>
      </w:r>
      <w:r>
        <w:rPr>
          <w:rFonts w:ascii="Times New Roman;Times;Serif" w:hAnsi="Times New Roman;Times;Serif"/>
          <w:b/>
          <w:i/>
          <w:caps w:val="false"/>
          <w:smallCaps w:val="false"/>
          <w:sz w:val="20"/>
        </w:rPr>
        <w:t>Clinical Cancer Research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Symbol" w:hAnsi="Symbol"/>
          <w:b/>
          <w:i w:val="false"/>
          <w:caps w:val="false"/>
          <w:smallCaps w:val="false"/>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Peer-reviewed analyses establish baseline plasma DKK1 as a continuous quantitative biomarker predicting deepening sirexatamab benefit in 2L mCRC patients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Symbol" w:hAnsi="Symbol"/>
          <w:b/>
          <w:i w:val="false"/>
          <w:caps w:val="false"/>
          <w:smallCaps w:val="false"/>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In DKK1-high 2L mCRC patients, sirexatamab improved response, progression-free survival, and overall survival when added to bevacizumab and chemotherapy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CAMBRIDGE, Mass., August 12, 2026 — </w:t>
      </w:r>
      <w:r>
        <w:rPr>
          <w:rFonts w:ascii="Times New Roman;Times;Serif" w:hAnsi="Times New Roman;Times;Serif"/>
          <w:b w:val="false"/>
          <w:i w:val="false"/>
          <w:caps w:val="false"/>
          <w:smallCaps w:val="false"/>
          <w:sz w:val="20"/>
        </w:rPr>
        <w:t xml:space="preserve">Leap Therapeutics, Inc., the biotechnology subsidiary of Cypherpunk Technologies Inc. (Nasdaq: CYPH), today announced the publication of results from the randomized Phase 2 DeFianCe study of sirexatamab (DKN-01), an anti-DKK1 monoclonal antibody, in </w:t>
      </w:r>
      <w:r>
        <w:rPr>
          <w:rFonts w:ascii="Times New Roman;Times;Serif" w:hAnsi="Times New Roman;Times;Serif"/>
          <w:b w:val="false"/>
          <w:i/>
          <w:caps w:val="false"/>
          <w:smallCaps w:val="false"/>
          <w:sz w:val="20"/>
        </w:rPr>
        <w:t>Clinical Cancer Research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publication, "Sirexatamab in Combination with Bevacizumab and Chemotherapy as Second-Line Therapy for Advanced Colorectal Adenocarcinoma: the Phase II DeFianCe Trial," reports the complete efficacy, safety and biomarker analyses from the study and details the statistical basis for the DKK1 biomarker finding. It is available online at </w:t>
      </w:r>
      <w:r>
        <w:rPr>
          <w:rFonts w:ascii="Times New Roman;Times;Serif" w:hAnsi="Times New Roman;Times;Serif"/>
          <w:b w:val="false"/>
          <w:i w:val="false"/>
          <w:caps w:val="false"/>
          <w:smallCaps w:val="false"/>
          <w:sz w:val="20"/>
          <w:u w:val="single"/>
        </w:rPr>
        <w:t>https://aacrjournals.org/clincancerres/article/doi/10.1158/1078-0432.CCR-26-1456/787049/Sirexatamab-in-Combination-with-Bevacizumab-and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peer-reviewed analyses establish that the benefit of sirexatamab increases as a patient's baseline plasma DKK1 level rises — a relationship confirmed by independent statistical approaches and reinforced by the observation that high DKK1 predicts poorer outcomes on standard of care alone. Together, these findings define DKK1-high mCRC as a biologically distinct population with high unmet need and provide the scientific foundation for a biomarker-selected Phase 3 trial. Additional information regarding the Company’s regulatory plans and strategic process for sirexatamab is included in the second quarter 2026 financial results announcement issued today by Cypherpunk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second-line colorectal cancer, we urgently need novel biomarkers that inform patients’ treatment options. The final data from the DeFianCe study show that baseline plasma DKK1 identifies patients with more aggressive disease, and it identifies the patients who benefit most from adding sirexatamab. Patients with high DKK1 do worse on standard of care, and they are the patients who gained the most in response and survival when sirexatamab was added,” said Zev Wainberg, MD, Professor of Medicine at UCLA and co-director of the UCLA GI Oncology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Microsatellite-stable colorectal cancer remains one of the most difficult settings in gastrointestinal oncology, as patients whose disease progresses after first-line therapy have quite limited options. We need new liquid biopsy biomarkers that tell us effectively which patients will benefit from which therapy. These data support the utility of baseline plasma DKK1 as a liquid biomarker for improving response rates and survival with sirexatamab, making a compelling case for a biomarker-selected Phase 3 registrational trial," said Markus Moehler, MD, PhD, Head of GI Oncology, Senior Physician Gastroenterology &amp; Endosonography Head at the Mainz University Clinic.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Findings from the Publication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DeFianCe (NCT05480306) was a two-part, randomized, open-label, multicenter Phase 2 study. Part B randomized 188 patients 1:1 to sirexatamab plus FOLFIRI or mFOLFOX6 and bevacizumab (Sirexatamab Arm) or to chemotherapy and bevacizumab alone (Control Arm). The primary endpoint was investigator-assessed progression-free survival (PFS); secondary endpoints included objective response rate (ORR) and overall survival (OS). Baseline plasma DKK1 was a prespecified candidate biomarker.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Sirexatamab benefit increased as baseline plasma DKK1 rose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Three independent analyses — a continuous treatment-by-DKK1 interaction model, a permutation-tested Biomarker Adaptive Threshold (BAT) analysis, and median- and upper-quartile subgroup analyses — converged on the same conclusion: benefit rises with baseline plasma DKK1.</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treatment-by-DKK1 interaction was statistically significant for both PFS (p=0.0129) and OS (p=0.0027), with DKK1 modeled as a continuous variable.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BAT analysis with permutation testing reached the same conclusion (PFS p=0.018; OS p&lt;0.001), and the data-driven cut points aligned with the median and upper quartile of baseline plasma DKK1.</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DKK1-high patients above the median (n=88)</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5"/>
        <w:gridCol w:w="10003"/>
      </w:tblGrid>
      <w:tr>
        <w:trPr/>
        <w:tc>
          <w:tcPr>
            <w:tcW w:w="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0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ORR was 38.0% in the Sirexatamab Arm compared with 23.7% in the Control Arm.</w:t>
            </w:r>
          </w:p>
        </w:tc>
      </w:tr>
    </w:tbl>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Median PFS was 9.0 months versus 7.1 months; HR 0.61 (95% CI, 0.37–1.00); p=0.0255.</w:t>
            </w:r>
          </w:p>
        </w:tc>
      </w:tr>
    </w:tbl>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Symbol" w:hAnsi="Symbol"/>
              </w:rPr>
            </w:pPr>
            <w:r>
              <w:rPr>
                <w:rFonts w:ascii="Symbol" w:hAnsi="Symbol"/>
              </w:rPr>
              <w:t>·</w:t>
            </w:r>
          </w:p>
        </w:tc>
        <w:tc>
          <w:tcPr>
            <w:tcW w:w="1001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Median OS was not reached versus 14.4 months; HR 0.42 (95% CI, 0.19–0.91); p=0.0118.</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DKK1-high patients in the upper quartile (n=44)</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9"/>
        <w:gridCol w:w="10025"/>
      </w:tblGrid>
      <w:tr>
        <w:trPr/>
        <w:tc>
          <w:tcPr>
            <w:tcW w:w="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ORR was 44.0% in the Sirexatamab Arm compared with 15.8% in the Control Arm; p=0.0149.</w:t>
            </w:r>
          </w:p>
        </w:tc>
      </w:tr>
    </w:tbl>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Median PFS was 9.4 months versus 5.9 months; HR 0.46 (95% CI, 0.22–0.96); p=0.0168.</w:t>
            </w:r>
          </w:p>
        </w:tc>
      </w:tr>
    </w:tbl>
    <w:tbl>
      <w:tblPr>
        <w:tblW w:w="5000" w:type="pct"/>
        <w:jc w:val="left"/>
        <w:tblInd w:w="0" w:type="dxa"/>
        <w:tblLayout w:type="fixed"/>
        <w:tblCellMar>
          <w:top w:w="0" w:type="dxa"/>
          <w:left w:w="0" w:type="dxa"/>
          <w:bottom w:w="0" w:type="dxa"/>
          <w:right w:w="0" w:type="dxa"/>
        </w:tblCellMar>
      </w:tblPr>
      <w:tblGrid>
        <w:gridCol w:w="45"/>
        <w:gridCol w:w="148"/>
        <w:gridCol w:w="10012"/>
      </w:tblGrid>
      <w:tr>
        <w:trPr/>
        <w:tc>
          <w:tcPr>
            <w:tcW w:w="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Median OS was not reached versus 9.5 months; HR 0.17 (95% CI, 0.05–0.53); p&lt;0.001.</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Higher baseline DKK1 was also prognostic of poor outcome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Control Arm, median OS declined as DKK1 rose — not reached in the overall population, 14.4 months above the median, and 9.5 months in the upper quartile — consistent with published evidence linking elevated DKK1 to more aggressive disease.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DKK1-high patients therefore represent a population with both poor prognosis on standard therapy and the greatest observed benefit from sirexatamab.</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Plasma DKK1 is a practical, blood-based biomarker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Baseline plasma DKK1 was detectable in 100% of patients across an approximately eight-fold dynamic range.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Levels were concordant across two orthogonal platforms — an aptamer-based SomaScan assay and an antibody-based Meso Scale Discovery (MSD) assay (Spearman r=0.77).</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Tumoral DKK1 mRNA expression was low in most tissue samples, reinforcing that plasma — not tissue — reflects the systemic DKK1 burden relevant to colorectal cancer biology, and supporting a blood-based patient-selection test.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in the overall intent-to-treat (ITT) population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prespecified primary endpoint of PFS in the ITT population was not met. Median PFS was 9.2 months in the Sirexatamab Arm versus 8.3 months in the Control Arm; HR 0.84 (95% CI, 0.58–1.21). ORR was 35.1% versus 26.6%, and median OS was not reached in either arm; HR 0.83 (95% CI, 0.46–1.48).</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final analysis included 119 investigator-assessed PFS events against the 145 events planned, leaving the ITT analysis underpowered in a biologically heterogeneous population.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Safety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Sirexatamab in combination with chemotherapy and bevacizumab was generally well tolerated. Grade 3 or higher treatment-emergent adverse events (TEAEs) occurred in 59.3% of patients in the Sirexatamab Arm compared with 67.0% in the Control Arm, and serious TEAEs were comparable between arms (19.8% versus 19.3%).</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TEAEs leading to discontinuation of sirexatamab occurred in 4.4% of patients, indicating that adding sirexatamab did not meaningfully change the tolerability of standard of care.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Sirexatamab (DKN-01)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Sirexatamab (DKN-01) is a humanized monoclonal antibody that binds and neutralizes Dickkopf-related protein 1 (DKK1), a secreted modulator of Wnt signaling associated with more aggressive disease, immune suppression, angiogenesis and poorer outcomes in colorectal and other cancers. In May 2026, the FDA granted Fast Track designation to sirexatamab in combination with fluoropyrimidine plus oxaliplatin- or irinotecan-based chemotherapy and bevacizumab for the treatment of patients with DKK1-high metastatic colorectal cancer whose disease has progressed following one prior systemic therapy.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Leap 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Leap Therapeutics, Inc. is the biotechnology research and development subsidiary of Cypherpunk Technologies Inc. (Nasdaq: CYPH), developing novel therapies for patients with cancer, including sirexatamab (DKN-01) and FL-501. For more information, visit </w:t>
      </w:r>
      <w:r>
        <w:rPr>
          <w:rFonts w:ascii="Times New Roman;Times;Serif" w:hAnsi="Times New Roman;Times;Serif"/>
          <w:b w:val="false"/>
          <w:i w:val="false"/>
          <w:caps w:val="false"/>
          <w:smallCaps w:val="false"/>
          <w:sz w:val="20"/>
          <w:u w:val="single"/>
        </w:rPr>
        <w:t>www.leaptx.com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Cypherpunk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Cypherpunk Technologies is a privacy technology company. The Company's mission is to advance technologies that guarantee privacy for humans on the internet. Cypherpunk pursues this mission through two primary strategies: accumulating Zcash (ZEC); and investing in, acquiring, and building technologies that push the frontier of privacy forward. Additionally, through its subsidiary Leap Therapeutics, Inc., the Company is developing novel therapies for patients with cancer, continuing the development of sirexatamab and FL-501. For more information about the Company, visit our websites at http://www.cypherpunk.com and http://www.leaptx.com or view our public filings with the SEC that are available via EDGAR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Section 27A of the Securities Act of 1933, as amended, and Section 21E of the Securities Exchange Act of 1934, as amended. These forward-looking statements generally can be identified by the use of words such as "anticipate," "expect," "plan," "could," "may," "will," "believe," "estimate," "forecast," "goal," "intend," "project," and other words of similar meaning. Forward-looking statements in this release include, without limitation, statements regarding the potential clinical benefit of sirexatamab; the role of baseline plasma DKK1 as a predictive biomarker and the development of a companion diagnostic; the Company's plans for and the design, initiation, timing, conduct and potential results of a Phase 3 clinical trial of sirexatamab; the potential for objective response rate to support a filing for accelerated approval in the United States and for overall survival to support full approval in the United States and registration in other markets; the significance of the Company's Type C meeting with the FDA and any alignment reached with the Agency; the definition, validation and prevalence of the DKK1-high patient population and the anticipated size and enrollment of the Phase 3 trial; and the Company's strategic process and the potential for a financing, partnership, license, collaboration, sale or other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the Company's current expectations and are subject to substantial risks and uncertainties that could cause actual results to differ materially. Important factors include, among others: (i) the DeFianCe study did not meet its prespecified primary endpoint of progression-free survival in the intent-to-treat population; (ii) the DKK1 biomarker subgroup and interaction analyses were exploratory, were based on a limited number of patients, were not adjusted for multiplicity, and may not be replicated in a prospective clinical trial; (iii) the impact of imbalances between treatment arms in the DKK1 subgroups; (iv) the risk that alignment with the FDA on trial design does not constitute agreement that any trial will succeed or that any marketing application will be accepted or approved, and the FDA may change its position at any time; (v) accelerated approval, if pursued, requires that the surrogate endpoint be reasonably likely to predict clinical benefit and is subject to confirmatory trial requirements and possible withdrawal if such requirements are not satisfied; (vi) the Company’s ability to initiate or complete the Phase 3 trial on the anticipated timeline or at all; (vii) the Company’s ability to obtain additional capital to advance sirexatamab on acceptable terms or at all; (viii) that risk that the strategic process may not result in any transaction or financing, may be terminated at any time, and any resulting transaction may not be on terms favorable to the Company or its stockholders; (ix) the Company’s ability to develop and validate a companion diagnostic; (x) the success of competing therapies; (xi) the Company’s ability to secure manufacturing capacity for sirexatamab; and (xii) the Company's ability to maintain and protect its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risks and uncertainties may emerge from time to time, and it is not possible to predict all risks and uncertainties. No representations or warranties (expressed or implied) are made about the accuracy of any such forward-looking statements. The Company may not actually achieve the forecasts disclosed in such forward-looking statements, and you should not place undue reliance on such forward-looking statements. Such forward-looking statements are subject to a number of material risks and uncertainties including but not limited to those set forth under the caption "Risk Factors" in the Company's most recent Annual Report on Form 10-K filed with the SEC, or as may be included in other reports or information we file with the SEC, as well as discussions of potential risks, uncertainties, and other important factors in its subsequent filings with the SEC. Any forward-looking statement speaks only as of the date on which it was made. Neither the Company, nor any of its affiliates, advisors or representatives, undertake any obligation to publicly update or revise any forward-looking statement, whether as a result of new information, future events or otherwise, except as required by law. These forward-looking statements should not be relied upon as representing the Company's views as of any date subsequent to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E. Onsi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Executive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Leap Therapeutics, Inc. / Cypherpunk Technologies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617-714-0360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donsi@leaptx.com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DeYoung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Argot Partners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212-600-1902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leap@argotpartners.com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Media: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Jacqueline Ortiz Ramsay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Factor Strategies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954-294-3249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jacqueline@itfactorstrategies.com</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5488</Words>
  <Characters>31326</Characters>
  <CharactersWithSpaces>37080</CharactersWithSpaces>
  <Paragraphs>1295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