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tm2624700d1_8k.htm"/>
      <w:bookmarkStart w:id="1" w:name="kstm2624700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A_edei--DocumentType_c20260902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20240" cy="438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20240" cy="43878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c2026"/>
      <w:bookmarkEnd w:id="4"/>
      <w:r>
        <w:rPr>
          <w:rFonts w:ascii="Times New Roman;Times;Serif" w:hAnsi="Times New Roman;Times;Serif"/>
          <w:b/>
          <w:i w:val="false"/>
          <w:caps w:val="false"/>
          <w:smallCaps w:val="false"/>
          <w:sz w:val="28"/>
        </w:rPr>
        <w:t>Cypherpunk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255"/>
        <w:gridCol w:w="60"/>
        <w:gridCol w:w="1340"/>
        <w:gridCol w:w="60"/>
        <w:gridCol w:w="1775"/>
      </w:tblGrid>
      <w:tr>
        <w:trPr/>
        <w:tc>
          <w:tcPr>
            <w:tcW w:w="225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b/>
                <w:sz w:val="20"/>
              </w:rPr>
            </w:pPr>
            <w:bookmarkStart w:id="6" w:name="xdx_90B_edei--EntityFileNumber_c20260902"/>
            <w:bookmarkEnd w:id="6"/>
            <w:r>
              <w:rPr>
                <w:b/>
                <w:sz w:val="20"/>
              </w:rPr>
              <w:t>001-37990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8_edei--EntityTaxIdentificationNum"/>
            <w:bookmarkEnd w:id="7"/>
            <w:r>
              <w:rPr>
                <w:b/>
                <w:sz w:val="20"/>
              </w:rPr>
              <w:t>27-4412575</w:t>
            </w:r>
          </w:p>
        </w:tc>
      </w:tr>
      <w:tr>
        <w:trPr/>
        <w:tc>
          <w:tcPr>
            <w:tcW w:w="2255" w:type="dxa"/>
            <w:tcBorders/>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 xml:space="preserve">(Commission </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47 Thorndike Street, </w:t>
      </w:r>
      <w:bookmarkStart w:id="9" w:name="xdx_90F_edei--EntityAddressAddressLine2_"/>
      <w:bookmarkEnd w:id="9"/>
      <w:r>
        <w:rPr>
          <w:rFonts w:ascii="Times New Roman;Times;Serif" w:hAnsi="Times New Roman;Times;Serif"/>
          <w:b/>
          <w:i w:val="false"/>
          <w:caps w:val="false"/>
          <w:smallCaps w:val="false"/>
          <w:sz w:val="20"/>
        </w:rPr>
        <w:t>Suite B1-1</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Cambridge, </w:t>
      </w:r>
      <w:bookmarkStart w:id="11" w:name="xdx_902_edei--EntityAddressStateOrProvin"/>
      <w:bookmarkEnd w:id="11"/>
      <w:r>
        <w:rPr>
          <w:rFonts w:ascii="Times New Roman;Times;Serif" w:hAnsi="Times New Roman;Times;Serif"/>
          <w:b/>
          <w:i w:val="false"/>
          <w:caps w:val="false"/>
          <w:smallCaps w:val="false"/>
          <w:sz w:val="20"/>
        </w:rPr>
        <w:t xml:space="preserve">MA </w:t>
      </w:r>
      <w:bookmarkStart w:id="12" w:name="xdx_90A_edei--EntityAddressPostalZipCode"/>
      <w:bookmarkEnd w:id="12"/>
      <w:r>
        <w:rPr>
          <w:rFonts w:ascii="Times New Roman;Times;Serif" w:hAnsi="Times New Roman;Times;Serif"/>
          <w:b/>
          <w:i w:val="false"/>
          <w:caps w:val="false"/>
          <w:smallCaps w:val="false"/>
          <w:sz w:val="20"/>
        </w:rPr>
        <w:t>02141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902__20"/>
      <w:bookmarkEnd w:id="13"/>
      <w:r>
        <w:rPr>
          <w:rFonts w:ascii="Times New Roman;Times;Serif" w:hAnsi="Times New Roman;Times;Serif"/>
          <w:b/>
          <w:i w:val="false"/>
          <w:caps w:val="false"/>
          <w:smallCaps w:val="false"/>
          <w:sz w:val="20"/>
        </w:rPr>
        <w:t xml:space="preserve">617) </w:t>
      </w:r>
      <w:bookmarkStart w:id="14" w:name="xdx_90B_edei--LocalPhoneNumber_c20260902"/>
      <w:bookmarkEnd w:id="14"/>
      <w:r>
        <w:rPr>
          <w:rFonts w:ascii="Times New Roman;Times;Serif" w:hAnsi="Times New Roman;Times;Serif"/>
          <w:b/>
          <w:i w:val="false"/>
          <w:caps w:val="false"/>
          <w:smallCaps w:val="false"/>
          <w:sz w:val="20"/>
        </w:rPr>
        <w:t>714-0360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A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center"/>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sz w:val="20"/>
              </w:rPr>
            </w:pPr>
            <w:bookmarkStart w:id="19" w:name="xdx_90B_edei--Security12bTitle_c20260902"/>
            <w:bookmarkEnd w:id="19"/>
            <w:r>
              <w:rPr>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4_edei--TradingSymbol_c20260902__2"/>
            <w:bookmarkEnd w:id="20"/>
            <w:r>
              <w:rPr>
                <w:sz w:val="20"/>
              </w:rPr>
              <w:t>CYPH</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r>
              <w:rPr>
                <w:sz w:val="20"/>
              </w:rPr>
              <w:t xml:space="preserve">The </w:t>
            </w:r>
            <w:bookmarkStart w:id="21" w:name="xdx_909_edei--SecurityExchangeName_c2026"/>
            <w:bookmarkEnd w:id="21"/>
            <w:r>
              <w:rPr>
                <w:sz w:val="20"/>
              </w:rPr>
              <w:t>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10" w:type="dxa"/>
        <w:shd w:fill="FFFFFF" w:val="clear"/>
        <w:tblLayout w:type="fixed"/>
        <w:tblCellMar>
          <w:top w:w="28" w:type="dxa"/>
          <w:left w:w="40" w:type="dxa"/>
          <w:bottom w:w="28" w:type="dxa"/>
          <w:right w:w="40" w:type="dxa"/>
        </w:tblCellMar>
      </w:tblPr>
      <w:tblGrid>
        <w:gridCol w:w="830"/>
        <w:gridCol w:w="1655"/>
      </w:tblGrid>
      <w:tr>
        <w:trPr/>
        <w:tc>
          <w:tcPr>
            <w:tcW w:w="83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b/>
                <w:sz w:val="20"/>
              </w:rPr>
            </w:pPr>
            <w:r>
              <w:rPr>
                <w:b/>
                <w:sz w:val="20"/>
              </w:rPr>
              <w:t>Item 8.01</w:t>
            </w:r>
          </w:p>
        </w:tc>
        <w:tc>
          <w:tcPr>
            <w:tcW w:w="165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b/>
                <w:sz w:val="20"/>
              </w:rPr>
            </w:pPr>
            <w:r>
              <w:rPr>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20, 2026, Cypherpunk Technologies Inc. (the “Company”) received a notification letter from the Listing Qualifications staff of The Nasdaq Stock Market LLC (“Nasdaq”) notifying the Company that, because the closing bid price for the Company’s common stock had fallen below $1.00 per share for 30 consecutive business days, the Company no longer met the minimum bid price requirement under Nasdaq Listing Rule 5550(a)(2).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 2026, the Company received a letter from Nasdaq notifying the Company that it had regained compliance with Nasdaq Listing Rule 55520(a)(2), and the matter is now closed.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90" w:type="dxa"/>
        <w:jc w:val="left"/>
        <w:tblInd w:w="-10" w:type="dxa"/>
        <w:shd w:fill="FFFFFF" w:val="clear"/>
        <w:tblLayout w:type="fixed"/>
        <w:tblCellMar>
          <w:top w:w="28" w:type="dxa"/>
          <w:left w:w="40" w:type="dxa"/>
          <w:bottom w:w="28" w:type="dxa"/>
          <w:right w:w="40" w:type="dxa"/>
        </w:tblCellMar>
      </w:tblPr>
      <w:tblGrid>
        <w:gridCol w:w="830"/>
        <w:gridCol w:w="2960"/>
      </w:tblGrid>
      <w:tr>
        <w:trPr/>
        <w:tc>
          <w:tcPr>
            <w:tcW w:w="830"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left"/>
              <w:rPr>
                <w:b/>
                <w:sz w:val="20"/>
              </w:rPr>
            </w:pPr>
            <w:r>
              <w:rPr>
                <w:b/>
                <w:sz w:val="20"/>
              </w:rPr>
              <w:t>Item 9.01</w:t>
            </w:r>
          </w:p>
        </w:tc>
        <w:tc>
          <w:tcPr>
            <w:tcW w:w="2960"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2390"/>
        <w:gridCol w:w="4355"/>
      </w:tblGrid>
      <w:tr>
        <w:trPr/>
        <w:tc>
          <w:tcPr>
            <w:tcW w:w="239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b/>
              </w:rPr>
            </w:pPr>
            <w:r>
              <w:rPr>
                <w:b/>
              </w:rPr>
              <w:t>CYPHERPUNK TECHNOLOGIES INC.</w:t>
            </w:r>
          </w:p>
        </w:tc>
      </w:tr>
      <w:tr>
        <w:trPr/>
        <w:tc>
          <w:tcPr>
            <w:tcW w:w="239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 </w:t>
            </w:r>
          </w:p>
        </w:tc>
      </w:tr>
      <w:tr>
        <w:trPr/>
        <w:tc>
          <w:tcPr>
            <w:tcW w:w="2390" w:type="dxa"/>
            <w:tcBorders/>
            <w:vAlign w:val="center"/>
          </w:tcPr>
          <w:p>
            <w:pPr>
              <w:pStyle w:val="TableContents"/>
              <w:bidi w:val="0"/>
              <w:spacing w:before="0" w:after="283"/>
              <w:jc w:val="both"/>
              <w:rPr/>
            </w:pPr>
            <w:r>
              <w:rPr/>
              <w:t>Date: September 2, 2026</w:t>
            </w:r>
          </w:p>
        </w:tc>
        <w:tc>
          <w:tcPr>
            <w:tcW w:w="4355" w:type="dxa"/>
            <w:tcBorders>
              <w:bottom w:val="single" w:sz="8" w:space="0" w:color="000000"/>
            </w:tcBorders>
            <w:tcMar>
              <w:bottom w:w="28" w:type="dxa"/>
            </w:tcMar>
            <w:vAlign w:val="center"/>
          </w:tcPr>
          <w:p>
            <w:pPr>
              <w:pStyle w:val="TableContents"/>
              <w:bidi w:val="0"/>
              <w:spacing w:before="0" w:after="283"/>
              <w:jc w:val="both"/>
              <w:rPr/>
            </w:pPr>
            <w:r>
              <w:rPr/>
              <w:t>/s/ Douglas E. Onsi</w:t>
            </w:r>
          </w:p>
        </w:tc>
      </w:tr>
      <w:tr>
        <w:trPr/>
        <w:tc>
          <w:tcPr>
            <w:tcW w:w="239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Douglas E. Onsi</w:t>
            </w:r>
          </w:p>
        </w:tc>
      </w:tr>
      <w:tr>
        <w:trPr/>
        <w:tc>
          <w:tcPr>
            <w:tcW w:w="2390" w:type="dxa"/>
            <w:tcBorders/>
            <w:vAlign w:val="center"/>
          </w:tcPr>
          <w:p>
            <w:pPr>
              <w:pStyle w:val="TableContents"/>
              <w:bidi w:val="0"/>
              <w:spacing w:before="0" w:after="283"/>
              <w:jc w:val="both"/>
              <w:rPr/>
            </w:pPr>
            <w:r>
              <w:rPr/>
              <w:t> </w:t>
            </w:r>
          </w:p>
        </w:tc>
        <w:tc>
          <w:tcPr>
            <w:tcW w:w="4355" w:type="dxa"/>
            <w:tcBorders/>
            <w:vAlign w:val="center"/>
          </w:tcPr>
          <w:p>
            <w:pPr>
              <w:pStyle w:val="TableContents"/>
              <w:bidi w:val="0"/>
              <w:spacing w:before="0" w:after="283"/>
              <w:jc w:val="both"/>
              <w:rPr/>
            </w:pPr>
            <w:r>
              <w:rPr/>
              <w:t>President &amp; CEO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473</Words>
  <Characters>2625</Characters>
  <CharactersWithSpaces>3106</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